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82A9" w14:textId="77777777" w:rsidR="0008321F" w:rsidRPr="00F876A5" w:rsidRDefault="0008321F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</w:p>
    <w:p w14:paraId="510B5DA2" w14:textId="46DDECE9" w:rsidR="0008321F" w:rsidRPr="00F876A5" w:rsidRDefault="00003E37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 w:rsidRPr="00F876A5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>POŽADAVKY KE STÁTNÍ DOKTORSKÉ ZKOUŠCE</w:t>
      </w:r>
    </w:p>
    <w:p w14:paraId="4E1BA24F" w14:textId="786B8CF4" w:rsidR="009732FB" w:rsidRPr="00F876A5" w:rsidRDefault="009732FB" w:rsidP="00DB2760">
      <w:pPr>
        <w:jc w:val="center"/>
        <w:rPr>
          <w:rFonts w:asciiTheme="minorHAnsi" w:hAnsiTheme="minorHAnsi" w:cstheme="minorHAnsi"/>
        </w:rPr>
      </w:pPr>
      <w:r w:rsidRPr="00F876A5">
        <w:rPr>
          <w:rFonts w:asciiTheme="minorHAnsi" w:hAnsiTheme="minorHAnsi" w:cstheme="minorHAnsi"/>
        </w:rPr>
        <w:t xml:space="preserve">v doktorském studijním programu </w:t>
      </w:r>
    </w:p>
    <w:sdt>
      <w:sdtPr>
        <w:rPr>
          <w:rFonts w:asciiTheme="minorHAnsi" w:hAnsiTheme="minorHAnsi" w:cstheme="minorHAnsi"/>
          <w:b/>
        </w:rPr>
        <w:id w:val="2080783324"/>
        <w:placeholder>
          <w:docPart w:val="738250A6958E4964AD4B346A219994EB"/>
        </w:placeholder>
        <w:comboBox>
          <w:listItem w:value="Zvolte položku."/>
          <w:listItem w:displayText="Čtenářství a mediální výchova ve vzdělávání" w:value="Čtenářství a mediální výchova ve vzdělávání"/>
          <w:listItem w:displayText="Didaktika informatiky a digitálních technologií" w:value="Didaktika informatiky a digitálních technologií"/>
          <w:listItem w:displayText="Hudební teorie a pedagogika" w:value="Hudební teorie a pedagogika"/>
          <w:listItem w:displayText="Matematická gramotnost ve vzdělávání" w:value="Matematická gramotnost ve vzdělávání"/>
          <w:listItem w:displayText="Pedagogika " w:value="Pedagogika "/>
          <w:listItem w:displayText="Speciální pedagogika " w:value="Speciální pedagogika "/>
          <w:listItem w:displayText="Výtvarná pedagogika (teorie výtvarné výchovy a tvorby)" w:value="Výtvarná pedagogika (teorie výtvarné výchovy a tvorby)"/>
        </w:comboBox>
      </w:sdtPr>
      <w:sdtEndPr/>
      <w:sdtContent>
        <w:p w14:paraId="103D38CA" w14:textId="71DB433C" w:rsidR="002B4420" w:rsidRPr="00635922" w:rsidRDefault="00D022C9" w:rsidP="00DB2760">
          <w:pPr>
            <w:jc w:val="center"/>
            <w:rPr>
              <w:rFonts w:asciiTheme="minorHAnsi" w:hAnsiTheme="minorHAnsi" w:cstheme="minorHAnsi"/>
              <w:b/>
            </w:rPr>
          </w:pPr>
          <w:r w:rsidRPr="00635922">
            <w:rPr>
              <w:rFonts w:asciiTheme="minorHAnsi" w:hAnsiTheme="minorHAnsi" w:cstheme="minorHAnsi"/>
              <w:b/>
            </w:rPr>
            <w:t>Čtenářství a mediální výchova ve vzdělávání</w:t>
          </w:r>
        </w:p>
      </w:sdtContent>
    </w:sdt>
    <w:p w14:paraId="367CEDB0" w14:textId="77777777" w:rsidR="005E4DBA" w:rsidRPr="00F876A5" w:rsidRDefault="005E4DBA" w:rsidP="00DB2760">
      <w:pPr>
        <w:jc w:val="center"/>
        <w:rPr>
          <w:rFonts w:asciiTheme="minorHAnsi" w:hAnsiTheme="minorHAnsi" w:cstheme="minorHAnsi"/>
          <w:sz w:val="22"/>
          <w:szCs w:val="22"/>
        </w:rPr>
      </w:pPr>
      <w:r w:rsidRPr="00F876A5">
        <w:rPr>
          <w:rFonts w:asciiTheme="minorHAnsi" w:hAnsiTheme="minorHAnsi" w:cstheme="minorHAnsi"/>
          <w:sz w:val="22"/>
          <w:szCs w:val="22"/>
        </w:rPr>
        <w:t xml:space="preserve">(název studijního </w:t>
      </w:r>
      <w:r w:rsidR="00410B92" w:rsidRPr="00F876A5">
        <w:rPr>
          <w:rFonts w:asciiTheme="minorHAnsi" w:hAnsiTheme="minorHAnsi" w:cstheme="minorHAnsi"/>
          <w:sz w:val="22"/>
          <w:szCs w:val="22"/>
        </w:rPr>
        <w:t>programu</w:t>
      </w:r>
      <w:r w:rsidRPr="00F876A5">
        <w:rPr>
          <w:rFonts w:asciiTheme="minorHAnsi" w:hAnsiTheme="minorHAnsi" w:cstheme="minorHAnsi"/>
          <w:sz w:val="22"/>
          <w:szCs w:val="22"/>
        </w:rPr>
        <w:t>)</w:t>
      </w:r>
    </w:p>
    <w:p w14:paraId="67051F28" w14:textId="35C2DDCD" w:rsidR="00904B00" w:rsidRPr="00F876A5" w:rsidRDefault="00904B00" w:rsidP="00AE67B1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C3E4C2" w14:textId="77777777" w:rsidR="00003E37" w:rsidRPr="00F876A5" w:rsidRDefault="00003E37" w:rsidP="00AE67B1">
      <w:pPr>
        <w:pStyle w:val="Nzev"/>
        <w:jc w:val="lef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F876A5" w14:paraId="634CE98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3A8F1B0" w14:textId="0F613E67" w:rsidR="00AE67B1" w:rsidRPr="00F876A5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6A5">
              <w:rPr>
                <w:rFonts w:asciiTheme="minorHAnsi" w:hAnsiTheme="minorHAnsi" w:cstheme="minorHAnsi"/>
                <w:b/>
                <w:bCs/>
                <w:i/>
              </w:rPr>
              <w:t xml:space="preserve">Požadavky k podání přihlášky ke státní doktorské zkoušce </w:t>
            </w:r>
          </w:p>
        </w:tc>
      </w:tr>
      <w:tr w:rsidR="00AE67B1" w:rsidRPr="00F876A5" w14:paraId="0CF67764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055" w14:textId="5FC82688" w:rsidR="00C57347" w:rsidRPr="00856244" w:rsidRDefault="00C57347" w:rsidP="00856244">
            <w:pPr>
              <w:ind w:left="0" w:hanging="11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Student se může přihlásit ke státní doktorské zkoušce po splnění všech povinností daných jeho studijním plánem a předpisy UP v Olomouci a Pedagogické fakulty UP v Olomouci. </w:t>
            </w:r>
          </w:p>
          <w:p w14:paraId="05837046" w14:textId="292C2793" w:rsidR="00C57347" w:rsidRPr="00856244" w:rsidRDefault="00C57347" w:rsidP="00AE67B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76CE3CC" w14:textId="77777777" w:rsidR="00C57347" w:rsidRPr="00856244" w:rsidRDefault="00C57347" w:rsidP="00856244">
            <w:pPr>
              <w:ind w:left="0" w:hanging="11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  <w:color w:val="000000"/>
              </w:rPr>
              <w:t>U státní doktorské zkoušky prokáže student před zkušební komisí hlubokou znalost problematiky</w:t>
            </w:r>
            <w:r w:rsidRPr="00856244">
              <w:rPr>
                <w:rFonts w:asciiTheme="minorHAnsi" w:hAnsiTheme="minorHAnsi" w:cstheme="minorHAnsi"/>
                <w:i/>
              </w:rPr>
              <w:t xml:space="preserve"> spadající do daného studijního programu, způsobilost osvojovat si nové vědecké poznatky a tvůrčím způsobem je používat v praxi.</w:t>
            </w:r>
          </w:p>
          <w:p w14:paraId="676BE006" w14:textId="77777777" w:rsidR="00C57347" w:rsidRPr="00856244" w:rsidRDefault="00C57347" w:rsidP="00C57347">
            <w:pPr>
              <w:rPr>
                <w:rFonts w:asciiTheme="minorHAnsi" w:hAnsiTheme="minorHAnsi" w:cstheme="minorHAnsi"/>
                <w:i/>
              </w:rPr>
            </w:pPr>
          </w:p>
          <w:p w14:paraId="163F4A71" w14:textId="77777777" w:rsidR="00C57347" w:rsidRPr="00856244" w:rsidRDefault="00C57347" w:rsidP="00856244">
            <w:pPr>
              <w:ind w:left="0" w:hanging="11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V rámci státní závěrečné zkoušky je student povinen prokázat osvojené znalosti a dovednosti zejména z okruhů povinných a povinně volitelných disciplín, a to především v oblasti, na kterou je zaměřena disertační práce studenta. </w:t>
            </w:r>
          </w:p>
          <w:p w14:paraId="15178CC6" w14:textId="77777777" w:rsidR="00C57347" w:rsidRPr="00856244" w:rsidRDefault="00C57347" w:rsidP="00C57347">
            <w:pPr>
              <w:rPr>
                <w:rFonts w:asciiTheme="minorHAnsi" w:hAnsiTheme="minorHAnsi" w:cstheme="minorHAnsi"/>
                <w:i/>
              </w:rPr>
            </w:pPr>
          </w:p>
          <w:p w14:paraId="4380327D" w14:textId="77777777" w:rsidR="00C57347" w:rsidRPr="00856244" w:rsidRDefault="00C57347" w:rsidP="00C57347">
            <w:pPr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S přihláškou ke státní doktorské zkoušce odevzdají studenti teze připravované disertační práce v rozsahu max. 15 stran textu (přílohy se do uvedeného počtu stran nezapočítávají). </w:t>
            </w:r>
          </w:p>
          <w:p w14:paraId="281DC5D8" w14:textId="77777777" w:rsidR="00C57347" w:rsidRPr="00856244" w:rsidRDefault="00C57347" w:rsidP="00C57347">
            <w:pPr>
              <w:pStyle w:val="Odstavecseseznamem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Obecný návrh struktury tezí: cíl práce, teoretická východiska, metodologie výzkumu, dosavadní výzkumná zjištění, zamýšlený přínos práce.</w:t>
            </w:r>
          </w:p>
          <w:p w14:paraId="193BC08B" w14:textId="77777777" w:rsidR="00C57347" w:rsidRPr="00856244" w:rsidRDefault="00C57347" w:rsidP="00C57347">
            <w:pPr>
              <w:pStyle w:val="Odstavecseseznamem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Přílohy tezí: CV studenta, soupis odborných aktivit a publikační činnosti, seznam prostudované odborné literatury.  </w:t>
            </w:r>
          </w:p>
          <w:p w14:paraId="24565C81" w14:textId="77777777" w:rsidR="00C57347" w:rsidRPr="00856244" w:rsidRDefault="00C57347" w:rsidP="00C57347">
            <w:pPr>
              <w:spacing w:line="252" w:lineRule="auto"/>
              <w:rPr>
                <w:rFonts w:asciiTheme="minorHAnsi" w:hAnsiTheme="minorHAnsi" w:cstheme="minorHAnsi"/>
                <w:i/>
              </w:rPr>
            </w:pPr>
          </w:p>
          <w:p w14:paraId="18A855F6" w14:textId="133998D5" w:rsidR="00AE67B1" w:rsidRPr="00F876A5" w:rsidRDefault="00C57347" w:rsidP="00856244">
            <w:pPr>
              <w:spacing w:line="252" w:lineRule="auto"/>
              <w:ind w:left="0" w:firstLine="0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Týden před konáním zkoušky odevzdá student vydané/vytištěné texty svých publikačních výstupů. </w:t>
            </w:r>
          </w:p>
        </w:tc>
      </w:tr>
    </w:tbl>
    <w:p w14:paraId="43926E94" w14:textId="77777777" w:rsidR="00AE67B1" w:rsidRPr="00F876A5" w:rsidRDefault="00AE67B1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06BA322" w14:textId="1C5E3362" w:rsidR="00AC12BA" w:rsidRPr="00F876A5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F876A5" w14:paraId="5390B819" w14:textId="77777777" w:rsidTr="00637D2C">
        <w:trPr>
          <w:trHeight w:val="51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2B34AD" w14:textId="6B8128C8" w:rsidR="00AE67B1" w:rsidRPr="00F876A5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6A5">
              <w:rPr>
                <w:rFonts w:asciiTheme="minorHAnsi" w:hAnsiTheme="minorHAnsi" w:cstheme="minorHAnsi"/>
                <w:b/>
                <w:bCs/>
                <w:i/>
              </w:rPr>
              <w:t>Zkušební okruhy státní doktorské zkoušky</w:t>
            </w:r>
          </w:p>
        </w:tc>
      </w:tr>
      <w:tr w:rsidR="00AE67B1" w:rsidRPr="00F876A5" w14:paraId="725A08EB" w14:textId="77777777" w:rsidTr="00637D2C">
        <w:trPr>
          <w:trHeight w:val="51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9E7E" w14:textId="7709669E" w:rsidR="00AE67B1" w:rsidRPr="00F876A5" w:rsidRDefault="00AE67B1" w:rsidP="00637D2C">
            <w:pPr>
              <w:rPr>
                <w:rFonts w:asciiTheme="minorHAnsi" w:hAnsiTheme="minorHAnsi" w:cstheme="minorHAnsi"/>
                <w:i/>
              </w:rPr>
            </w:pPr>
          </w:p>
          <w:p w14:paraId="3B5E2E29" w14:textId="77777777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Základní výzkumná témata v oblasti didaktiky literatury a mediální výchovy. Výzkumy čtenářství, čtenářské a mediální gramotnosti v ČR a v zahraničí.</w:t>
            </w:r>
          </w:p>
          <w:p w14:paraId="271DC0E0" w14:textId="765D1A10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Mediální gramotnost v teorii a </w:t>
            </w:r>
            <w:r w:rsidR="00637D2C" w:rsidRPr="00856244">
              <w:rPr>
                <w:rFonts w:asciiTheme="minorHAnsi" w:hAnsiTheme="minorHAnsi" w:cstheme="minorHAnsi"/>
                <w:i/>
              </w:rPr>
              <w:t>praxi – definice</w:t>
            </w:r>
            <w:r w:rsidRPr="00856244">
              <w:rPr>
                <w:rFonts w:asciiTheme="minorHAnsi" w:hAnsiTheme="minorHAnsi" w:cstheme="minorHAnsi"/>
                <w:i/>
              </w:rPr>
              <w:t>, mediální gramotnost v systému gramotností, způsoby zvyšování mediální gramotnosti v populaci.</w:t>
            </w:r>
          </w:p>
          <w:p w14:paraId="3B7D0D05" w14:textId="4009B88D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Čtenářská gramotnost v teorii a </w:t>
            </w:r>
            <w:r w:rsidR="00637D2C" w:rsidRPr="00856244">
              <w:rPr>
                <w:rFonts w:asciiTheme="minorHAnsi" w:hAnsiTheme="minorHAnsi" w:cstheme="minorHAnsi"/>
                <w:i/>
              </w:rPr>
              <w:t>praxi – definice</w:t>
            </w:r>
            <w:r w:rsidRPr="00856244">
              <w:rPr>
                <w:rFonts w:asciiTheme="minorHAnsi" w:hAnsiTheme="minorHAnsi" w:cstheme="minorHAnsi"/>
                <w:i/>
              </w:rPr>
              <w:t>, čtenářská gramotnost v systému gramotností, způsoby rozvoje čtenářské gramotnosti.</w:t>
            </w:r>
          </w:p>
          <w:p w14:paraId="6E32DF39" w14:textId="77777777" w:rsidR="002E2293" w:rsidRPr="00856244" w:rsidRDefault="002E2293" w:rsidP="002E2293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Čtení a psaní jako problém didaktický. Aktuální tendence ve výuce ČJL.</w:t>
            </w:r>
          </w:p>
          <w:p w14:paraId="2C33641F" w14:textId="77777777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Interpretace uměleckého textu v literární výchově. Charakteristika interpretačních přístupů (zaměření na text, čtenáře, autora, kontext apod.).</w:t>
            </w:r>
          </w:p>
          <w:p w14:paraId="4A94C9F6" w14:textId="54D55FD0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lastRenderedPageBreak/>
              <w:t xml:space="preserve">Specifika porozumění informačnímu textu. Zkoumavé/oborové </w:t>
            </w:r>
            <w:r w:rsidR="00F37B29" w:rsidRPr="00856244">
              <w:rPr>
                <w:rFonts w:asciiTheme="minorHAnsi" w:hAnsiTheme="minorHAnsi" w:cstheme="minorHAnsi"/>
                <w:i/>
              </w:rPr>
              <w:t>čtení – práce</w:t>
            </w:r>
            <w:r w:rsidRPr="00856244">
              <w:rPr>
                <w:rFonts w:asciiTheme="minorHAnsi" w:hAnsiTheme="minorHAnsi" w:cstheme="minorHAnsi"/>
                <w:i/>
              </w:rPr>
              <w:t xml:space="preserve"> s informačním textem ve škole. Specifika elektronického textu v online prostředí.</w:t>
            </w:r>
          </w:p>
          <w:p w14:paraId="4914ADE5" w14:textId="4E379309" w:rsidR="00C57347" w:rsidRPr="00856244" w:rsidRDefault="000D0B04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Čtenářství. </w:t>
            </w:r>
            <w:r w:rsidR="00C57347" w:rsidRPr="00856244">
              <w:rPr>
                <w:rFonts w:asciiTheme="minorHAnsi" w:hAnsiTheme="minorHAnsi" w:cstheme="minorHAnsi"/>
                <w:i/>
              </w:rPr>
              <w:t>Čtenářské strategie a možnosti jejich rozvoje.</w:t>
            </w:r>
            <w:r w:rsidR="00000062" w:rsidRPr="00856244">
              <w:rPr>
                <w:rFonts w:asciiTheme="minorHAnsi" w:hAnsiTheme="minorHAnsi" w:cstheme="minorHAnsi"/>
                <w:i/>
              </w:rPr>
              <w:t xml:space="preserve"> Záznamy z četby.</w:t>
            </w:r>
            <w:r w:rsidR="00C57347" w:rsidRPr="00856244">
              <w:rPr>
                <w:rFonts w:asciiTheme="minorHAnsi" w:hAnsiTheme="minorHAnsi" w:cstheme="minorHAnsi"/>
                <w:i/>
              </w:rPr>
              <w:t xml:space="preserve"> Uplatnění metod kritického myšlení při čtení textu. Kritický rozbor mediálních textů ve škole. </w:t>
            </w:r>
          </w:p>
          <w:p w14:paraId="396007A1" w14:textId="77777777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Poezie v systému literární výchovy a specifika její recepce. Výzkumy recepce uměleckého textu a jejich přínos pro pedagogickou praxi.</w:t>
            </w:r>
          </w:p>
          <w:p w14:paraId="545D3F43" w14:textId="77777777" w:rsidR="00F876A5" w:rsidRPr="00856244" w:rsidRDefault="00C57347" w:rsidP="00D51FF8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Komunikace ve školní třídě. Specifika pedagogické komunikace v literární výchově. Mediální komunikace. Pedagogická komunikace v mediální </w:t>
            </w:r>
            <w:r w:rsidR="00637D2C" w:rsidRPr="00856244">
              <w:rPr>
                <w:rFonts w:asciiTheme="minorHAnsi" w:hAnsiTheme="minorHAnsi" w:cstheme="minorHAnsi"/>
                <w:i/>
              </w:rPr>
              <w:t>výchově – srovnání</w:t>
            </w:r>
            <w:r w:rsidRPr="00856244">
              <w:rPr>
                <w:rFonts w:asciiTheme="minorHAnsi" w:hAnsiTheme="minorHAnsi" w:cstheme="minorHAnsi"/>
                <w:i/>
              </w:rPr>
              <w:t xml:space="preserve"> protekcionistického a </w:t>
            </w:r>
            <w:proofErr w:type="spellStart"/>
            <w:r w:rsidRPr="00856244">
              <w:rPr>
                <w:rFonts w:asciiTheme="minorHAnsi" w:hAnsiTheme="minorHAnsi" w:cstheme="minorHAnsi"/>
                <w:i/>
              </w:rPr>
              <w:t>empowerment</w:t>
            </w:r>
            <w:proofErr w:type="spellEnd"/>
            <w:r w:rsidRPr="00856244">
              <w:rPr>
                <w:rFonts w:asciiTheme="minorHAnsi" w:hAnsiTheme="minorHAnsi" w:cstheme="minorHAnsi"/>
                <w:i/>
              </w:rPr>
              <w:t xml:space="preserve"> přístupu. </w:t>
            </w:r>
          </w:p>
          <w:p w14:paraId="3D89C028" w14:textId="77777777" w:rsidR="00F876A5" w:rsidRPr="00856244" w:rsidRDefault="00F876A5" w:rsidP="00FE5AC2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proofErr w:type="spellStart"/>
            <w:r w:rsidRPr="00856244">
              <w:rPr>
                <w:rFonts w:asciiTheme="minorHAnsi" w:hAnsiTheme="minorHAnsi" w:cstheme="minorHAnsi"/>
                <w:i/>
              </w:rPr>
              <w:t>Ekolingvistika</w:t>
            </w:r>
            <w:proofErr w:type="spellEnd"/>
            <w:r w:rsidRPr="00856244">
              <w:rPr>
                <w:rFonts w:asciiTheme="minorHAnsi" w:hAnsiTheme="minorHAnsi" w:cstheme="minorHAnsi"/>
                <w:i/>
              </w:rPr>
              <w:t xml:space="preserve"> a mediální výchova jako téma didaktiky mateřského jazyka.</w:t>
            </w:r>
          </w:p>
          <w:p w14:paraId="24DF6615" w14:textId="19CBE12A" w:rsidR="00F876A5" w:rsidRPr="00856244" w:rsidRDefault="00F876A5" w:rsidP="00FE5AC2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Autenticita rozvoje komunikačních dovedností ve výuce mateřského jazyka</w:t>
            </w:r>
          </w:p>
          <w:p w14:paraId="1C5D79E9" w14:textId="77777777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Tradiční, moderní a postmoderní texty v literární výchově na ZŠ.</w:t>
            </w:r>
          </w:p>
          <w:p w14:paraId="0089623C" w14:textId="77777777" w:rsidR="0075428C" w:rsidRPr="00856244" w:rsidRDefault="0075428C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 xml:space="preserve">Didaktická reflexe dětství, dospívání a aktuálních společenských problémů v literatuře pro děti a mládež. </w:t>
            </w:r>
            <w:proofErr w:type="spellStart"/>
            <w:r w:rsidRPr="00856244">
              <w:rPr>
                <w:rFonts w:asciiTheme="minorHAnsi" w:hAnsiTheme="minorHAnsi" w:cstheme="minorHAnsi"/>
                <w:i/>
              </w:rPr>
              <w:t>Young</w:t>
            </w:r>
            <w:proofErr w:type="spellEnd"/>
            <w:r w:rsidRPr="0085624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56244">
              <w:rPr>
                <w:rFonts w:asciiTheme="minorHAnsi" w:hAnsiTheme="minorHAnsi" w:cstheme="minorHAnsi"/>
                <w:i/>
              </w:rPr>
              <w:t>adult</w:t>
            </w:r>
            <w:proofErr w:type="spellEnd"/>
            <w:r w:rsidRPr="00856244">
              <w:rPr>
                <w:rFonts w:asciiTheme="minorHAnsi" w:hAnsiTheme="minorHAnsi" w:cstheme="minorHAnsi"/>
                <w:i/>
              </w:rPr>
              <w:t xml:space="preserve"> literatura – její místo v četbě dospívajících a v literární výchově.</w:t>
            </w:r>
          </w:p>
          <w:p w14:paraId="1C7F32F1" w14:textId="09BF0758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Mediální výchova jako průřezové téma v kurikulárních dokumentech, integrace prvků mediální výchovy do vzdělávacích oborů a oblastí.</w:t>
            </w:r>
          </w:p>
          <w:p w14:paraId="56D21BEB" w14:textId="77777777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Výzkumy mediální gramotnosti se zaměřením na aktéry vzdělávání (učitelé, studenti). Mediální gramotnost obyvatel České republiky pohledem výzkumu.</w:t>
            </w:r>
          </w:p>
          <w:p w14:paraId="5585F471" w14:textId="77777777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Veřejnoprávní a komerční média, jejich vlastnosti a specifika. Regulace mediálního trhu a mediálního obsahu.</w:t>
            </w:r>
          </w:p>
          <w:p w14:paraId="0EFF6660" w14:textId="77777777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Reklama jako klíčové téma mediální výchovy, typy reklamy. Mediální stereotypy v reklamě. Mediální manipulace. Regulace reklamy.</w:t>
            </w:r>
          </w:p>
          <w:p w14:paraId="770723C0" w14:textId="77777777" w:rsidR="00C57347" w:rsidRPr="00856244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proofErr w:type="spellStart"/>
            <w:r w:rsidRPr="00856244">
              <w:rPr>
                <w:rFonts w:asciiTheme="minorHAnsi" w:hAnsiTheme="minorHAnsi" w:cstheme="minorHAnsi"/>
                <w:i/>
              </w:rPr>
              <w:t>Fact-checking</w:t>
            </w:r>
            <w:proofErr w:type="spellEnd"/>
            <w:r w:rsidRPr="00856244">
              <w:rPr>
                <w:rFonts w:asciiTheme="minorHAnsi" w:hAnsiTheme="minorHAnsi" w:cstheme="minorHAnsi"/>
                <w:i/>
              </w:rPr>
              <w:t xml:space="preserve"> v mediální výchově. Kognitivní zkreslení a jejich specifika. Zásady efektivního </w:t>
            </w:r>
            <w:proofErr w:type="spellStart"/>
            <w:r w:rsidRPr="00856244">
              <w:rPr>
                <w:rFonts w:asciiTheme="minorHAnsi" w:hAnsiTheme="minorHAnsi" w:cstheme="minorHAnsi"/>
                <w:i/>
              </w:rPr>
              <w:t>fact-checkingu</w:t>
            </w:r>
            <w:proofErr w:type="spellEnd"/>
            <w:r w:rsidRPr="00856244">
              <w:rPr>
                <w:rFonts w:asciiTheme="minorHAnsi" w:hAnsiTheme="minorHAnsi" w:cstheme="minorHAnsi"/>
                <w:i/>
              </w:rPr>
              <w:t>.</w:t>
            </w:r>
          </w:p>
          <w:p w14:paraId="1A2E03F2" w14:textId="11F2085B" w:rsidR="00AE67B1" w:rsidRPr="00F876A5" w:rsidRDefault="00C57347" w:rsidP="00637D2C">
            <w:pPr>
              <w:pStyle w:val="Odstavecseseznamem"/>
              <w:numPr>
                <w:ilvl w:val="0"/>
                <w:numId w:val="11"/>
              </w:numPr>
              <w:spacing w:after="160"/>
              <w:ind w:left="357" w:hanging="357"/>
              <w:rPr>
                <w:rFonts w:asciiTheme="minorHAnsi" w:hAnsiTheme="minorHAnsi" w:cstheme="minorHAnsi"/>
                <w:i/>
              </w:rPr>
            </w:pPr>
            <w:r w:rsidRPr="00856244">
              <w:rPr>
                <w:rFonts w:asciiTheme="minorHAnsi" w:hAnsiTheme="minorHAnsi" w:cstheme="minorHAnsi"/>
                <w:i/>
              </w:rPr>
              <w:t>Dezinformace jako celospolečenský problém. Výzkumy zaměřené na percepci a produkci dezinformací v ČR (a</w:t>
            </w:r>
            <w:r w:rsidR="00B31135" w:rsidRPr="00856244">
              <w:rPr>
                <w:rFonts w:asciiTheme="minorHAnsi" w:hAnsiTheme="minorHAnsi" w:cstheme="minorHAnsi"/>
                <w:i/>
              </w:rPr>
              <w:t xml:space="preserve"> v</w:t>
            </w:r>
            <w:r w:rsidRPr="00856244">
              <w:rPr>
                <w:rFonts w:asciiTheme="minorHAnsi" w:hAnsiTheme="minorHAnsi" w:cstheme="minorHAnsi"/>
                <w:i/>
              </w:rPr>
              <w:t xml:space="preserve"> zahraničí). Typologie šiřitelů dezinformací. Klíčová dezinformační témata.</w:t>
            </w:r>
          </w:p>
        </w:tc>
      </w:tr>
    </w:tbl>
    <w:p w14:paraId="262070C1" w14:textId="2BBD0622" w:rsidR="00C72AA9" w:rsidRPr="00F876A5" w:rsidRDefault="00C72AA9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DA11DA5" w14:textId="78FB0DDE" w:rsidR="00AC12BA" w:rsidRPr="00F876A5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03E37" w:rsidRPr="00F876A5" w14:paraId="1C0D7E6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5DF214E" w14:textId="67AAC705" w:rsidR="00003E37" w:rsidRPr="00F876A5" w:rsidRDefault="00003E37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6A5">
              <w:rPr>
                <w:rFonts w:asciiTheme="minorHAnsi" w:hAnsiTheme="minorHAnsi" w:cstheme="minorHAnsi"/>
                <w:b/>
                <w:bCs/>
                <w:i/>
              </w:rPr>
              <w:t>Průběh státní doktorské zkoušky</w:t>
            </w:r>
          </w:p>
        </w:tc>
      </w:tr>
      <w:tr w:rsidR="00003E37" w:rsidRPr="00F876A5" w14:paraId="7C0091C2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4A26" w14:textId="77777777" w:rsidR="00003E37" w:rsidRPr="00F876A5" w:rsidRDefault="00003E37" w:rsidP="00146280">
            <w:pPr>
              <w:rPr>
                <w:rFonts w:asciiTheme="minorHAnsi" w:hAnsiTheme="minorHAnsi" w:cstheme="minorHAnsi"/>
                <w:i/>
              </w:rPr>
            </w:pPr>
          </w:p>
          <w:p w14:paraId="29223928" w14:textId="56ADA2A7" w:rsidR="00C57347" w:rsidRPr="005E2FAE" w:rsidRDefault="00C57347" w:rsidP="00856244">
            <w:pPr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5E2FAE">
              <w:rPr>
                <w:rFonts w:asciiTheme="minorHAnsi" w:hAnsiTheme="minorHAnsi" w:cstheme="minorHAnsi"/>
                <w:i/>
              </w:rPr>
              <w:t>Státní doktorská zkouška má dvě části:</w:t>
            </w:r>
          </w:p>
          <w:p w14:paraId="5E45BE54" w14:textId="77777777" w:rsidR="00856244" w:rsidRPr="005E2FAE" w:rsidRDefault="00856244" w:rsidP="00856244">
            <w:pPr>
              <w:spacing w:line="252" w:lineRule="auto"/>
              <w:rPr>
                <w:rFonts w:asciiTheme="minorHAnsi" w:hAnsiTheme="minorHAnsi" w:cstheme="minorHAnsi"/>
                <w:i/>
              </w:rPr>
            </w:pPr>
          </w:p>
          <w:p w14:paraId="20F780B6" w14:textId="77777777" w:rsidR="00C57347" w:rsidRPr="005E2FAE" w:rsidRDefault="00C57347" w:rsidP="00C57347">
            <w:pPr>
              <w:pStyle w:val="Odstavecseseznamem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5E2FAE">
              <w:rPr>
                <w:rFonts w:asciiTheme="minorHAnsi" w:hAnsiTheme="minorHAnsi" w:cstheme="minorHAnsi"/>
                <w:i/>
              </w:rPr>
              <w:t>prezentace tezí připravované disertační práce v rozsahu 15 minut a jejich obhajoba;</w:t>
            </w:r>
          </w:p>
          <w:p w14:paraId="52117D0A" w14:textId="1CD71FCD" w:rsidR="00C57347" w:rsidRPr="005E2FAE" w:rsidRDefault="00C57347" w:rsidP="00C57347">
            <w:pPr>
              <w:pStyle w:val="Odstavecseseznamem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5E2FAE">
              <w:rPr>
                <w:rFonts w:asciiTheme="minorHAnsi" w:hAnsiTheme="minorHAnsi" w:cstheme="minorHAnsi"/>
                <w:i/>
              </w:rPr>
              <w:t xml:space="preserve">ústní zkouška </w:t>
            </w:r>
            <w:r w:rsidR="00637D2C" w:rsidRPr="005E2FAE">
              <w:rPr>
                <w:rFonts w:asciiTheme="minorHAnsi" w:hAnsiTheme="minorHAnsi" w:cstheme="minorHAnsi"/>
                <w:i/>
              </w:rPr>
              <w:t>– odpovědi</w:t>
            </w:r>
            <w:r w:rsidRPr="005E2FAE">
              <w:rPr>
                <w:rFonts w:asciiTheme="minorHAnsi" w:hAnsiTheme="minorHAnsi" w:cstheme="minorHAnsi"/>
                <w:i/>
              </w:rPr>
              <w:t xml:space="preserve"> na dotazy členů komise z předem zveřejněných zkušebních okruhů a prostudované literatury. </w:t>
            </w:r>
          </w:p>
          <w:p w14:paraId="03F6C7F2" w14:textId="77777777" w:rsidR="00C57347" w:rsidRPr="005E2FAE" w:rsidRDefault="00C57347" w:rsidP="00C57347">
            <w:pPr>
              <w:pStyle w:val="Odstavecseseznamem"/>
              <w:spacing w:line="252" w:lineRule="auto"/>
              <w:ind w:left="1776"/>
              <w:rPr>
                <w:rFonts w:asciiTheme="minorHAnsi" w:hAnsiTheme="minorHAnsi" w:cstheme="minorHAnsi"/>
                <w:i/>
              </w:rPr>
            </w:pPr>
          </w:p>
          <w:p w14:paraId="25605744" w14:textId="0B9F4B75" w:rsidR="00003E37" w:rsidRPr="00856244" w:rsidRDefault="00C57347" w:rsidP="00856244">
            <w:pPr>
              <w:spacing w:line="252" w:lineRule="auto"/>
              <w:ind w:left="62" w:hanging="11"/>
              <w:rPr>
                <w:rFonts w:asciiTheme="minorHAnsi" w:hAnsiTheme="minorHAnsi" w:cstheme="minorHAnsi"/>
              </w:rPr>
            </w:pPr>
            <w:r w:rsidRPr="005E2FAE">
              <w:rPr>
                <w:rFonts w:asciiTheme="minorHAnsi" w:hAnsiTheme="minorHAnsi" w:cstheme="minorHAnsi"/>
                <w:i/>
              </w:rPr>
              <w:t>Za standardní formu zkoušky považujeme především samo</w:t>
            </w:r>
            <w:r w:rsidR="00856244" w:rsidRPr="005E2FAE">
              <w:rPr>
                <w:rFonts w:asciiTheme="minorHAnsi" w:hAnsiTheme="minorHAnsi" w:cstheme="minorHAnsi"/>
                <w:i/>
              </w:rPr>
              <w:t xml:space="preserve">statný strukturovaný a spisovný </w:t>
            </w:r>
            <w:r w:rsidRPr="005E2FAE">
              <w:rPr>
                <w:rFonts w:asciiTheme="minorHAnsi" w:hAnsiTheme="minorHAnsi" w:cstheme="minorHAnsi"/>
                <w:i/>
              </w:rPr>
              <w:t xml:space="preserve">projev prokazující orientaci ve </w:t>
            </w:r>
            <w:bookmarkStart w:id="0" w:name="_GoBack"/>
            <w:bookmarkEnd w:id="0"/>
            <w:r w:rsidRPr="005E2FAE">
              <w:rPr>
                <w:rFonts w:asciiTheme="minorHAnsi" w:hAnsiTheme="minorHAnsi" w:cstheme="minorHAnsi"/>
                <w:i/>
              </w:rPr>
              <w:t>stanovených tématech, schopnost formulovat a reflektovat různá hlediska či problémy.</w:t>
            </w:r>
            <w:r w:rsidRPr="00F876A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24FF010" w14:textId="5FB97DBD" w:rsidR="00AC12BA" w:rsidRPr="00F876A5" w:rsidRDefault="00AC12BA" w:rsidP="00003E37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3C6E59F" w14:textId="64FA27B0" w:rsidR="00D03096" w:rsidRPr="00F876A5" w:rsidRDefault="00D03096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sectPr w:rsidR="00D03096" w:rsidRPr="00F876A5" w:rsidSect="0046796C">
      <w:head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BE70" w14:textId="77777777" w:rsidR="00F61665" w:rsidRDefault="00F61665" w:rsidP="00C72AA9">
      <w:r>
        <w:separator/>
      </w:r>
    </w:p>
  </w:endnote>
  <w:endnote w:type="continuationSeparator" w:id="0">
    <w:p w14:paraId="5BBF6CB6" w14:textId="77777777" w:rsidR="00F61665" w:rsidRDefault="00F61665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594D9" w14:textId="77777777" w:rsidR="00F61665" w:rsidRDefault="00F61665" w:rsidP="00C72AA9">
      <w:r>
        <w:separator/>
      </w:r>
    </w:p>
  </w:footnote>
  <w:footnote w:type="continuationSeparator" w:id="0">
    <w:p w14:paraId="76E88EA9" w14:textId="77777777" w:rsidR="00F61665" w:rsidRDefault="00F61665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700E74"/>
    <w:multiLevelType w:val="hybridMultilevel"/>
    <w:tmpl w:val="FED6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3B47"/>
    <w:multiLevelType w:val="hybridMultilevel"/>
    <w:tmpl w:val="9F4EF2B8"/>
    <w:lvl w:ilvl="0" w:tplc="B2749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YaGtQDcJo1xLQAAAA=="/>
  </w:docVars>
  <w:rsids>
    <w:rsidRoot w:val="009732FB"/>
    <w:rsid w:val="00000062"/>
    <w:rsid w:val="00003E37"/>
    <w:rsid w:val="0008321F"/>
    <w:rsid w:val="000A4778"/>
    <w:rsid w:val="000D0B04"/>
    <w:rsid w:val="00142D89"/>
    <w:rsid w:val="00185359"/>
    <w:rsid w:val="002110C2"/>
    <w:rsid w:val="0023214D"/>
    <w:rsid w:val="00285EFF"/>
    <w:rsid w:val="002B4420"/>
    <w:rsid w:val="002E2293"/>
    <w:rsid w:val="002E7AD4"/>
    <w:rsid w:val="00410B92"/>
    <w:rsid w:val="00421E71"/>
    <w:rsid w:val="00450A0A"/>
    <w:rsid w:val="0046796C"/>
    <w:rsid w:val="00467EFC"/>
    <w:rsid w:val="004868C4"/>
    <w:rsid w:val="004A5F00"/>
    <w:rsid w:val="00501F60"/>
    <w:rsid w:val="00521F43"/>
    <w:rsid w:val="00522631"/>
    <w:rsid w:val="00577316"/>
    <w:rsid w:val="005D0659"/>
    <w:rsid w:val="005E2FAE"/>
    <w:rsid w:val="005E4DBA"/>
    <w:rsid w:val="00635922"/>
    <w:rsid w:val="00637D2C"/>
    <w:rsid w:val="006405CC"/>
    <w:rsid w:val="006E3A9D"/>
    <w:rsid w:val="00725F53"/>
    <w:rsid w:val="007429BC"/>
    <w:rsid w:val="0075051A"/>
    <w:rsid w:val="0075428C"/>
    <w:rsid w:val="00822119"/>
    <w:rsid w:val="00836836"/>
    <w:rsid w:val="00856244"/>
    <w:rsid w:val="008B1669"/>
    <w:rsid w:val="008E6BEC"/>
    <w:rsid w:val="00904B00"/>
    <w:rsid w:val="009732FB"/>
    <w:rsid w:val="00A730F7"/>
    <w:rsid w:val="00A8716E"/>
    <w:rsid w:val="00AC12BA"/>
    <w:rsid w:val="00AE67B1"/>
    <w:rsid w:val="00B01E94"/>
    <w:rsid w:val="00B0404E"/>
    <w:rsid w:val="00B23DEB"/>
    <w:rsid w:val="00B31135"/>
    <w:rsid w:val="00B60503"/>
    <w:rsid w:val="00C006EB"/>
    <w:rsid w:val="00C57347"/>
    <w:rsid w:val="00C72AA9"/>
    <w:rsid w:val="00CE6AB9"/>
    <w:rsid w:val="00D022C9"/>
    <w:rsid w:val="00D03096"/>
    <w:rsid w:val="00D9356D"/>
    <w:rsid w:val="00DB2760"/>
    <w:rsid w:val="00DF5C40"/>
    <w:rsid w:val="00E45FAA"/>
    <w:rsid w:val="00E579CF"/>
    <w:rsid w:val="00ED143B"/>
    <w:rsid w:val="00F00333"/>
    <w:rsid w:val="00F050FF"/>
    <w:rsid w:val="00F37B29"/>
    <w:rsid w:val="00F520C8"/>
    <w:rsid w:val="00F61665"/>
    <w:rsid w:val="00F876A5"/>
    <w:rsid w:val="00FB0C23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94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76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BE3488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1153B4"/>
    <w:rsid w:val="002E4575"/>
    <w:rsid w:val="00365731"/>
    <w:rsid w:val="0052458A"/>
    <w:rsid w:val="00560635"/>
    <w:rsid w:val="005A40E8"/>
    <w:rsid w:val="00A24C63"/>
    <w:rsid w:val="00B96048"/>
    <w:rsid w:val="00BE3488"/>
    <w:rsid w:val="00C32B59"/>
    <w:rsid w:val="00C51E8B"/>
    <w:rsid w:val="00C670E6"/>
    <w:rsid w:val="00CA6011"/>
    <w:rsid w:val="00CE16DB"/>
    <w:rsid w:val="00D72D49"/>
    <w:rsid w:val="00F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1E8B"/>
    <w:rPr>
      <w:color w:val="808080"/>
    </w:rPr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A29FD78BE90468000AF36CB620D98" ma:contentTypeVersion="14" ma:contentTypeDescription="Vytvoří nový dokument" ma:contentTypeScope="" ma:versionID="6933fb1b8d01075e45f626c19bed0540">
  <xsd:schema xmlns:xsd="http://www.w3.org/2001/XMLSchema" xmlns:xs="http://www.w3.org/2001/XMLSchema" xmlns:p="http://schemas.microsoft.com/office/2006/metadata/properties" xmlns:ns3="798a07b0-2166-46b5-9720-438eae45cd28" xmlns:ns4="0f52263e-01d4-4ff5-83e9-8750e4c0f078" targetNamespace="http://schemas.microsoft.com/office/2006/metadata/properties" ma:root="true" ma:fieldsID="6d5c8186c1550fdbef2d5150ea08fb85" ns3:_="" ns4:_="">
    <xsd:import namespace="798a07b0-2166-46b5-9720-438eae45cd28"/>
    <xsd:import namespace="0f52263e-01d4-4ff5-83e9-8750e4c0f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a07b0-2166-46b5-9720-438eae45c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263e-01d4-4ff5-83e9-8750e4c0f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6783-D303-4B4A-85C8-35CBB51F2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61803-84CA-4A98-918C-64D436DDA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39E41-FD4D-471B-AE73-BC9DFE9EC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a07b0-2166-46b5-9720-438eae45cd28"/>
    <ds:schemaRef ds:uri="0f52263e-01d4-4ff5-83e9-8750e4c0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BFE41-EA84-4111-B3F7-1E7B9118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5</cp:revision>
  <cp:lastPrinted>2021-11-26T11:41:00Z</cp:lastPrinted>
  <dcterms:created xsi:type="dcterms:W3CDTF">2021-12-09T12:49:00Z</dcterms:created>
  <dcterms:modified xsi:type="dcterms:W3CDTF">2022-03-16T12:03:00Z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0x010100EC5A29FD78BE90468000AF36CB620D98</vt:lpwstr>
  </property>
</Properties>
</file>