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E5" w:rsidRPr="00C855CA" w:rsidRDefault="002963E5" w:rsidP="0089217E">
      <w:pPr>
        <w:shd w:val="clear" w:color="auto" w:fill="FFFFFF"/>
        <w:spacing w:before="330" w:after="165" w:line="240" w:lineRule="auto"/>
        <w:outlineLvl w:val="1"/>
        <w:rPr>
          <w:rFonts w:ascii="Times New Roman" w:eastAsia="Times New Roman" w:hAnsi="Times New Roman" w:cs="Times New Roman"/>
          <w:color w:val="4C4C4E"/>
          <w:spacing w:val="5"/>
          <w:sz w:val="39"/>
          <w:szCs w:val="39"/>
          <w:lang w:eastAsia="cs-CZ"/>
        </w:rPr>
      </w:pPr>
      <w:bookmarkStart w:id="0" w:name="_GoBack"/>
      <w:bookmarkEnd w:id="0"/>
      <w:r w:rsidRPr="00C855CA">
        <w:rPr>
          <w:rFonts w:ascii="Times New Roman" w:eastAsia="Times New Roman" w:hAnsi="Times New Roman" w:cs="Times New Roman"/>
          <w:color w:val="4C4C4E"/>
          <w:spacing w:val="5"/>
          <w:sz w:val="39"/>
          <w:szCs w:val="39"/>
          <w:lang w:eastAsia="cs-CZ"/>
        </w:rPr>
        <w:t xml:space="preserve">Podmínky přijímacího řízení a organizace přijímacích zkoušek na </w:t>
      </w:r>
      <w:proofErr w:type="spellStart"/>
      <w:r w:rsidRPr="00C855CA">
        <w:rPr>
          <w:rFonts w:ascii="Times New Roman" w:eastAsia="Times New Roman" w:hAnsi="Times New Roman" w:cs="Times New Roman"/>
          <w:color w:val="4C4C4E"/>
          <w:spacing w:val="5"/>
          <w:sz w:val="39"/>
          <w:szCs w:val="39"/>
          <w:lang w:eastAsia="cs-CZ"/>
        </w:rPr>
        <w:t>PdF</w:t>
      </w:r>
      <w:proofErr w:type="spellEnd"/>
      <w:r w:rsidRPr="00C855CA">
        <w:rPr>
          <w:rFonts w:ascii="Times New Roman" w:eastAsia="Times New Roman" w:hAnsi="Times New Roman" w:cs="Times New Roman"/>
          <w:color w:val="4C4C4E"/>
          <w:spacing w:val="5"/>
          <w:sz w:val="39"/>
          <w:szCs w:val="39"/>
          <w:lang w:eastAsia="cs-CZ"/>
        </w:rPr>
        <w:t xml:space="preserve"> UP v akademickém roce 201</w:t>
      </w:r>
      <w:r w:rsidR="004253A4" w:rsidRPr="00C855CA">
        <w:rPr>
          <w:rFonts w:ascii="Times New Roman" w:eastAsia="Times New Roman" w:hAnsi="Times New Roman" w:cs="Times New Roman"/>
          <w:color w:val="4C4C4E"/>
          <w:spacing w:val="5"/>
          <w:sz w:val="39"/>
          <w:szCs w:val="39"/>
          <w:lang w:eastAsia="cs-CZ"/>
        </w:rPr>
        <w:t>8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39"/>
          <w:szCs w:val="39"/>
          <w:lang w:eastAsia="cs-CZ"/>
        </w:rPr>
        <w:t>/201</w:t>
      </w:r>
      <w:r w:rsidR="004253A4" w:rsidRPr="00C855CA">
        <w:rPr>
          <w:rFonts w:ascii="Times New Roman" w:eastAsia="Times New Roman" w:hAnsi="Times New Roman" w:cs="Times New Roman"/>
          <w:color w:val="4C4C4E"/>
          <w:spacing w:val="5"/>
          <w:sz w:val="39"/>
          <w:szCs w:val="39"/>
          <w:lang w:eastAsia="cs-CZ"/>
        </w:rPr>
        <w:t>9</w:t>
      </w:r>
      <w:r w:rsidR="00A34BED" w:rsidRPr="00C855CA">
        <w:rPr>
          <w:rFonts w:ascii="Times New Roman" w:eastAsia="Times New Roman" w:hAnsi="Times New Roman" w:cs="Times New Roman"/>
          <w:color w:val="4C4C4E"/>
          <w:spacing w:val="5"/>
          <w:sz w:val="39"/>
          <w:szCs w:val="39"/>
          <w:lang w:eastAsia="cs-CZ"/>
        </w:rPr>
        <w:t xml:space="preserve"> se zahájením studia v akademickém roce 201</w:t>
      </w:r>
      <w:r w:rsidR="004253A4" w:rsidRPr="00C855CA">
        <w:rPr>
          <w:rFonts w:ascii="Times New Roman" w:eastAsia="Times New Roman" w:hAnsi="Times New Roman" w:cs="Times New Roman"/>
          <w:color w:val="4C4C4E"/>
          <w:spacing w:val="5"/>
          <w:sz w:val="39"/>
          <w:szCs w:val="39"/>
          <w:lang w:eastAsia="cs-CZ"/>
        </w:rPr>
        <w:t>9</w:t>
      </w:r>
      <w:r w:rsidR="00A34BED" w:rsidRPr="00C855CA">
        <w:rPr>
          <w:rFonts w:ascii="Times New Roman" w:eastAsia="Times New Roman" w:hAnsi="Times New Roman" w:cs="Times New Roman"/>
          <w:color w:val="4C4C4E"/>
          <w:spacing w:val="5"/>
          <w:sz w:val="39"/>
          <w:szCs w:val="39"/>
          <w:lang w:eastAsia="cs-CZ"/>
        </w:rPr>
        <w:t>/20</w:t>
      </w:r>
      <w:r w:rsidR="004253A4" w:rsidRPr="00C855CA">
        <w:rPr>
          <w:rFonts w:ascii="Times New Roman" w:eastAsia="Times New Roman" w:hAnsi="Times New Roman" w:cs="Times New Roman"/>
          <w:color w:val="4C4C4E"/>
          <w:spacing w:val="5"/>
          <w:sz w:val="39"/>
          <w:szCs w:val="39"/>
          <w:lang w:eastAsia="cs-CZ"/>
        </w:rPr>
        <w:t>20</w:t>
      </w:r>
      <w:r w:rsidR="00A34BED" w:rsidRPr="00C855CA">
        <w:rPr>
          <w:rFonts w:ascii="Times New Roman" w:eastAsia="Times New Roman" w:hAnsi="Times New Roman" w:cs="Times New Roman"/>
          <w:color w:val="4C4C4E"/>
          <w:spacing w:val="5"/>
          <w:sz w:val="39"/>
          <w:szCs w:val="39"/>
          <w:lang w:eastAsia="cs-CZ"/>
        </w:rPr>
        <w:t xml:space="preserve"> </w:t>
      </w:r>
    </w:p>
    <w:p w:rsidR="0089217E" w:rsidRPr="00C855CA" w:rsidRDefault="0089217E" w:rsidP="0089217E">
      <w:pPr>
        <w:shd w:val="clear" w:color="auto" w:fill="FFFFFF"/>
        <w:spacing w:before="330" w:after="165" w:line="240" w:lineRule="auto"/>
        <w:outlineLvl w:val="1"/>
        <w:rPr>
          <w:rFonts w:ascii="Times New Roman" w:eastAsia="Times New Roman" w:hAnsi="Times New Roman" w:cs="Times New Roman"/>
          <w:color w:val="4C4C4E"/>
          <w:spacing w:val="5"/>
          <w:sz w:val="39"/>
          <w:szCs w:val="39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39"/>
          <w:szCs w:val="39"/>
          <w:lang w:eastAsia="cs-CZ"/>
        </w:rPr>
        <w:t>Termíny podání přihlášek</w:t>
      </w:r>
    </w:p>
    <w:p w:rsidR="0089217E" w:rsidRPr="00C855CA" w:rsidRDefault="0089217E" w:rsidP="008921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>Bakalářské, magisterské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 </w:t>
      </w:r>
      <w:r w:rsidRPr="00C855CA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>a navazující magisterské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 studijní programy v prezenční i kombinované formě studia: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br/>
        <w:t>Termín podání přihlášek</w:t>
      </w:r>
      <w:r w:rsidR="00912018" w:rsidRPr="00C855CA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 xml:space="preserve">: </w:t>
      </w:r>
      <w:r w:rsidR="00E038B0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 xml:space="preserve">od </w:t>
      </w:r>
      <w:r w:rsidR="00912018" w:rsidRPr="00C855CA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 xml:space="preserve">1. listopadu </w:t>
      </w:r>
      <w:r w:rsidRPr="00C855CA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>201</w:t>
      </w:r>
      <w:r w:rsidR="004253A4" w:rsidRPr="00C855CA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>8</w:t>
      </w:r>
      <w:r w:rsidR="00912018" w:rsidRPr="00C855CA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 xml:space="preserve"> </w:t>
      </w:r>
      <w:r w:rsidRPr="00C855CA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>–</w:t>
      </w:r>
      <w:r w:rsidR="00912018" w:rsidRPr="00C855CA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 xml:space="preserve"> </w:t>
      </w:r>
      <w:r w:rsidR="00E038B0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 xml:space="preserve">do </w:t>
      </w:r>
      <w:r w:rsidRPr="00C855CA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>28. února 201</w:t>
      </w:r>
      <w:r w:rsidR="004253A4" w:rsidRPr="00C855CA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>9</w:t>
      </w:r>
      <w:r w:rsidR="00E038B0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>.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br/>
        <w:t>Na základě žádosti děkan</w:t>
      </w:r>
      <w:r w:rsidR="00316D81"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ky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, může rektor UP v Olomouci prodloužit termín podávání </w:t>
      </w:r>
      <w:r w:rsidR="00316D81"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p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řihlášek do </w:t>
      </w:r>
      <w:r w:rsidRPr="00C855CA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>1</w:t>
      </w:r>
      <w:r w:rsidR="00A01BC1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>3</w:t>
      </w:r>
      <w:r w:rsidRPr="00C855CA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>. července 201</w:t>
      </w:r>
      <w:r w:rsidR="004253A4" w:rsidRPr="00C855CA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>9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. Toto opatření nastává především v případě nenaplnění kapacity některých studijních </w:t>
      </w:r>
      <w:r w:rsidR="00316D81"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programů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.</w:t>
      </w:r>
    </w:p>
    <w:p w:rsidR="0089217E" w:rsidRPr="00E038B0" w:rsidRDefault="0089217E" w:rsidP="008921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</w:pPr>
      <w:r w:rsidRPr="00E038B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>Doktorské</w:t>
      </w:r>
      <w:r w:rsidRPr="00E038B0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 </w:t>
      </w:r>
      <w:r w:rsidRPr="00E038B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>studijní programy</w:t>
      </w:r>
      <w:r w:rsidRPr="00E038B0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br/>
        <w:t xml:space="preserve">Termín podání přihlášek: </w:t>
      </w:r>
      <w:r w:rsidR="00E038B0" w:rsidRPr="00E038B0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cs-CZ"/>
        </w:rPr>
        <w:t>od</w:t>
      </w:r>
      <w:r w:rsidR="00E038B0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 </w:t>
      </w:r>
      <w:r w:rsidRPr="00E038B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>1. listopadu 201</w:t>
      </w:r>
      <w:r w:rsidR="004253A4" w:rsidRPr="00E038B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>8</w:t>
      </w:r>
      <w:r w:rsidRPr="00E038B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 xml:space="preserve"> </w:t>
      </w:r>
      <w:r w:rsidR="00E038B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>–</w:t>
      </w:r>
      <w:r w:rsidRPr="00E038B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 xml:space="preserve"> </w:t>
      </w:r>
      <w:r w:rsidR="00E038B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 xml:space="preserve">do </w:t>
      </w:r>
      <w:r w:rsidRPr="00E038B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>31. května 201</w:t>
      </w:r>
      <w:r w:rsidR="004253A4" w:rsidRPr="00E038B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>9</w:t>
      </w:r>
      <w:r w:rsidR="00E038B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>.</w:t>
      </w:r>
      <w:r w:rsidRPr="00E038B0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br/>
        <w:t>Na základě žádosti děkan</w:t>
      </w:r>
      <w:r w:rsidR="00F025DE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ky</w:t>
      </w:r>
      <w:r w:rsidRPr="00E038B0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 může rektor UP v Olomouci prodloužit termín podávání přihlášek do </w:t>
      </w:r>
      <w:r w:rsidRPr="00E038B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>31. srpna 201</w:t>
      </w:r>
      <w:r w:rsidR="0095013F" w:rsidRPr="00E038B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>9</w:t>
      </w:r>
      <w:r w:rsidRPr="00E038B0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. Toto opatření nastává především v případě nenaplnění kapacity některých studijních </w:t>
      </w:r>
      <w:r w:rsidR="00F025DE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programů.</w:t>
      </w:r>
    </w:p>
    <w:p w:rsidR="0089217E" w:rsidRPr="00E038B0" w:rsidRDefault="0089217E" w:rsidP="0089217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</w:pPr>
      <w:r w:rsidRPr="00E038B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>Bakalářské</w:t>
      </w:r>
      <w:r w:rsidRPr="00E038B0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, </w:t>
      </w:r>
      <w:r w:rsidRPr="00E038B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>magisterské</w:t>
      </w:r>
      <w:r w:rsidRPr="00E038B0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, </w:t>
      </w:r>
      <w:r w:rsidRPr="00E038B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>navazující magisterské</w:t>
      </w:r>
      <w:r w:rsidRPr="00E038B0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 a </w:t>
      </w:r>
      <w:r w:rsidRPr="00E038B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>doktorské</w:t>
      </w:r>
      <w:r w:rsidRPr="00E038B0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 studijní programy uskutečňované </w:t>
      </w:r>
      <w:r w:rsidRPr="00E038B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>v cizím jazyce</w:t>
      </w:r>
      <w:r w:rsidRPr="00E038B0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:</w:t>
      </w:r>
      <w:r w:rsidRPr="00E038B0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br/>
        <w:t>Termín podání přihlášek</w:t>
      </w:r>
      <w:r w:rsidR="00F025DE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: </w:t>
      </w:r>
      <w:r w:rsidR="00F025DE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cs-CZ"/>
        </w:rPr>
        <w:t>od</w:t>
      </w:r>
      <w:r w:rsidR="00E038B0" w:rsidRPr="00E038B0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 xml:space="preserve"> </w:t>
      </w:r>
      <w:r w:rsidRPr="00E038B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>1. listopadu 201</w:t>
      </w:r>
      <w:r w:rsidR="0095013F" w:rsidRPr="00E038B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>8</w:t>
      </w:r>
      <w:r w:rsidRPr="00E038B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 xml:space="preserve"> – </w:t>
      </w:r>
      <w:r w:rsidR="00E038B0" w:rsidRPr="00E038B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 xml:space="preserve">nejdéle do </w:t>
      </w:r>
      <w:r w:rsidRPr="00E038B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 xml:space="preserve">31. </w:t>
      </w:r>
      <w:r w:rsidR="00987B3E" w:rsidRPr="00E038B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>srpna</w:t>
      </w:r>
      <w:r w:rsidRPr="00E038B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 xml:space="preserve"> 201</w:t>
      </w:r>
      <w:r w:rsidR="0095013F" w:rsidRPr="00E038B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>9</w:t>
      </w:r>
      <w:r w:rsidR="00987B3E" w:rsidRPr="00E038B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>.</w:t>
      </w:r>
      <w:r w:rsidRPr="00E038B0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> </w:t>
      </w:r>
    </w:p>
    <w:p w:rsidR="0089217E" w:rsidRPr="00C855CA" w:rsidRDefault="0089217E" w:rsidP="0089217E">
      <w:pPr>
        <w:shd w:val="clear" w:color="auto" w:fill="FFFFFF"/>
        <w:spacing w:before="330" w:after="165" w:line="240" w:lineRule="auto"/>
        <w:outlineLvl w:val="1"/>
        <w:rPr>
          <w:rFonts w:ascii="Times New Roman" w:eastAsia="Times New Roman" w:hAnsi="Times New Roman" w:cs="Times New Roman"/>
          <w:color w:val="4C4C4E"/>
          <w:spacing w:val="5"/>
          <w:sz w:val="39"/>
          <w:szCs w:val="39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39"/>
          <w:szCs w:val="39"/>
          <w:lang w:eastAsia="cs-CZ"/>
        </w:rPr>
        <w:t>Termín</w:t>
      </w:r>
      <w:r w:rsidR="00E038B0">
        <w:rPr>
          <w:rFonts w:ascii="Times New Roman" w:eastAsia="Times New Roman" w:hAnsi="Times New Roman" w:cs="Times New Roman"/>
          <w:color w:val="4C4C4E"/>
          <w:spacing w:val="5"/>
          <w:sz w:val="39"/>
          <w:szCs w:val="39"/>
          <w:lang w:eastAsia="cs-CZ"/>
        </w:rPr>
        <w:t>y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39"/>
          <w:szCs w:val="39"/>
          <w:lang w:eastAsia="cs-CZ"/>
        </w:rPr>
        <w:t xml:space="preserve"> přijímacích zkoušek</w:t>
      </w:r>
    </w:p>
    <w:p w:rsidR="0089217E" w:rsidRPr="00C855CA" w:rsidRDefault="0089217E" w:rsidP="0089217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Talentové zkoušky na jednooborovou Výtvarnou tvorbu se zaměřením na vzdělávání</w:t>
      </w:r>
      <w:r w:rsidRPr="00C855CA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br/>
      </w:r>
      <w:r w:rsidR="004253A4" w:rsidRPr="00A01BC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>9</w:t>
      </w:r>
      <w:r w:rsidRPr="00A01BC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>. dubna 201</w:t>
      </w:r>
      <w:r w:rsidR="004253A4" w:rsidRPr="00A01BC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>9</w:t>
      </w:r>
    </w:p>
    <w:p w:rsidR="0089217E" w:rsidRPr="00C855CA" w:rsidRDefault="0089217E" w:rsidP="0089217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Písemné, ústní zkoušky i talentové zkoušky (bakalářské, magisterské a navazující magisterské studijní programy v prezenční a kombinované formě) v týdnu: </w:t>
      </w:r>
      <w:r w:rsidRPr="00C855CA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br/>
        <w:t>1</w:t>
      </w:r>
      <w:r w:rsidR="004253A4" w:rsidRPr="00C855CA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>0</w:t>
      </w:r>
      <w:r w:rsidR="00987B3E" w:rsidRPr="00C855CA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 xml:space="preserve">. – </w:t>
      </w:r>
      <w:r w:rsidRPr="00C855CA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>1</w:t>
      </w:r>
      <w:r w:rsidR="004253A4" w:rsidRPr="00C855CA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>4</w:t>
      </w:r>
      <w:r w:rsidRPr="00C855CA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>. června 201</w:t>
      </w:r>
      <w:r w:rsidR="004253A4" w:rsidRPr="00C855CA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>9</w:t>
      </w:r>
    </w:p>
    <w:p w:rsidR="0089217E" w:rsidRPr="00660F81" w:rsidRDefault="0089217E" w:rsidP="0089217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</w:pPr>
      <w:r w:rsidRPr="00660F81">
        <w:rPr>
          <w:rFonts w:ascii="Times New Roman" w:eastAsia="Times New Roman" w:hAnsi="Times New Roman" w:cs="Times New Roman"/>
          <w:spacing w:val="5"/>
          <w:sz w:val="24"/>
          <w:szCs w:val="24"/>
          <w:lang w:eastAsia="cs-CZ"/>
        </w:rPr>
        <w:t>Doktorské studijní programy</w:t>
      </w:r>
      <w:r w:rsidRPr="00660F8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br/>
        <w:t>1</w:t>
      </w:r>
      <w:r w:rsidR="00660F81" w:rsidRPr="00660F8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>7</w:t>
      </w:r>
      <w:r w:rsidRPr="00660F8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>. – 2</w:t>
      </w:r>
      <w:r w:rsidR="00660F81" w:rsidRPr="00660F8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>1</w:t>
      </w:r>
      <w:r w:rsidRPr="00660F8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>. června 201</w:t>
      </w:r>
      <w:r w:rsidR="00FE4544" w:rsidRPr="00660F81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cs-CZ"/>
        </w:rPr>
        <w:t>9</w:t>
      </w:r>
    </w:p>
    <w:p w:rsidR="00660F81" w:rsidRDefault="0089217E" w:rsidP="00660F8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Náhradní termín konání přijímacích zkoušek není vypsán. </w:t>
      </w:r>
    </w:p>
    <w:p w:rsidR="00660F81" w:rsidRDefault="00660F81" w:rsidP="00660F8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</w:p>
    <w:p w:rsidR="0089217E" w:rsidRPr="00660F81" w:rsidRDefault="0089217E" w:rsidP="00660F8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39"/>
          <w:szCs w:val="39"/>
          <w:lang w:eastAsia="cs-CZ"/>
        </w:rPr>
        <w:t>Poplatek za úkony spojené s přijímacím řízením</w:t>
      </w:r>
    </w:p>
    <w:p w:rsidR="00907090" w:rsidRPr="00C855CA" w:rsidRDefault="00907090" w:rsidP="00907090">
      <w:pPr>
        <w:pStyle w:val="Normlnweb"/>
        <w:shd w:val="clear" w:color="auto" w:fill="FFFFFF"/>
        <w:rPr>
          <w:color w:val="4C4C4E"/>
          <w:spacing w:val="5"/>
        </w:rPr>
      </w:pPr>
      <w:r w:rsidRPr="00C855CA">
        <w:rPr>
          <w:color w:val="4C4C4E"/>
          <w:spacing w:val="5"/>
        </w:rPr>
        <w:t xml:space="preserve">Administrativní poplatek (poplatek za úkony spojené s přijímacím řízením):   </w:t>
      </w:r>
      <w:r w:rsidRPr="00C855CA">
        <w:rPr>
          <w:color w:val="4C4C4E"/>
          <w:spacing w:val="5"/>
        </w:rPr>
        <w:br/>
        <w:t>6</w:t>
      </w:r>
      <w:r w:rsidR="004253A4" w:rsidRPr="00C855CA">
        <w:rPr>
          <w:color w:val="4C4C4E"/>
          <w:spacing w:val="5"/>
        </w:rPr>
        <w:t>9</w:t>
      </w:r>
      <w:r w:rsidRPr="00C855CA">
        <w:rPr>
          <w:color w:val="4C4C4E"/>
          <w:spacing w:val="5"/>
        </w:rPr>
        <w:t xml:space="preserve">0,- Kč/přihláška </w:t>
      </w:r>
    </w:p>
    <w:p w:rsidR="00907090" w:rsidRPr="00C855CA" w:rsidRDefault="00907090" w:rsidP="00907090">
      <w:pPr>
        <w:pStyle w:val="Normlnweb"/>
        <w:shd w:val="clear" w:color="auto" w:fill="FFFFFF"/>
        <w:rPr>
          <w:color w:val="4C4C4E"/>
          <w:spacing w:val="5"/>
        </w:rPr>
      </w:pPr>
      <w:r w:rsidRPr="00C855CA">
        <w:rPr>
          <w:b/>
          <w:bCs/>
          <w:color w:val="4C4C4E"/>
          <w:spacing w:val="5"/>
        </w:rPr>
        <w:lastRenderedPageBreak/>
        <w:t>Poplatek</w:t>
      </w:r>
      <w:r w:rsidRPr="00C855CA">
        <w:rPr>
          <w:color w:val="4C4C4E"/>
          <w:spacing w:val="5"/>
        </w:rPr>
        <w:t xml:space="preserve"> za úkony spojené s přijímacím řízením</w:t>
      </w:r>
      <w:r w:rsidRPr="00C855CA">
        <w:rPr>
          <w:b/>
          <w:bCs/>
          <w:color w:val="4C4C4E"/>
          <w:spacing w:val="5"/>
        </w:rPr>
        <w:t xml:space="preserve"> je nutné uhradit ihned</w:t>
      </w:r>
      <w:r w:rsidRPr="00C855CA">
        <w:rPr>
          <w:color w:val="4C4C4E"/>
          <w:spacing w:val="5"/>
        </w:rPr>
        <w:t xml:space="preserve"> po volbě studijního programu</w:t>
      </w:r>
      <w:r w:rsidR="00316D81" w:rsidRPr="00C855CA">
        <w:rPr>
          <w:color w:val="4C4C4E"/>
          <w:spacing w:val="5"/>
        </w:rPr>
        <w:t>,</w:t>
      </w:r>
      <w:r w:rsidRPr="00C855CA">
        <w:rPr>
          <w:color w:val="4C4C4E"/>
          <w:spacing w:val="5"/>
        </w:rPr>
        <w:t xml:space="preserve"> podrobnosti o způsobu platby a platební údaje jsou uvedeny v e-přihlášce. </w:t>
      </w:r>
      <w:r w:rsidRPr="00C855CA">
        <w:rPr>
          <w:b/>
          <w:bCs/>
          <w:color w:val="4C4C4E"/>
          <w:spacing w:val="5"/>
        </w:rPr>
        <w:t>Tento poplatek je nevratný.</w:t>
      </w:r>
      <w:r w:rsidRPr="00C855CA">
        <w:rPr>
          <w:color w:val="4C4C4E"/>
          <w:spacing w:val="5"/>
        </w:rPr>
        <w:t xml:space="preserve"> </w:t>
      </w:r>
    </w:p>
    <w:p w:rsidR="00907090" w:rsidRPr="00C855CA" w:rsidRDefault="00907090" w:rsidP="00907090">
      <w:pPr>
        <w:pStyle w:val="Normlnweb"/>
        <w:shd w:val="clear" w:color="auto" w:fill="FFFFFF"/>
        <w:rPr>
          <w:color w:val="4C4C4E"/>
          <w:spacing w:val="5"/>
        </w:rPr>
      </w:pPr>
      <w:r w:rsidRPr="00C855CA">
        <w:rPr>
          <w:color w:val="4C4C4E"/>
          <w:spacing w:val="5"/>
        </w:rPr>
        <w:t>Pouze úspěšnou úhradou poplatku za úkony spojené s přijímacím řízením se má za to, že uchazeč přihlášku ke studiu doručil.</w:t>
      </w:r>
    </w:p>
    <w:p w:rsidR="0089217E" w:rsidRPr="00C855CA" w:rsidRDefault="0089217E" w:rsidP="0089217E">
      <w:pPr>
        <w:shd w:val="clear" w:color="auto" w:fill="FFFFFF"/>
        <w:spacing w:before="330" w:after="165" w:line="240" w:lineRule="auto"/>
        <w:outlineLvl w:val="1"/>
        <w:rPr>
          <w:rFonts w:ascii="Times New Roman" w:eastAsia="Times New Roman" w:hAnsi="Times New Roman" w:cs="Times New Roman"/>
          <w:color w:val="4C4C4E"/>
          <w:spacing w:val="5"/>
          <w:sz w:val="39"/>
          <w:szCs w:val="39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39"/>
          <w:szCs w:val="39"/>
          <w:lang w:eastAsia="cs-CZ"/>
        </w:rPr>
        <w:t>Elektronická přihláška ke studiu</w:t>
      </w:r>
    </w:p>
    <w:p w:rsidR="0089217E" w:rsidRPr="00C855CA" w:rsidRDefault="0089217E" w:rsidP="0089217E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Elektronická přihláška ke studiu: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br/>
      </w:r>
      <w:hyperlink r:id="rId6" w:tgtFrame="_blank" w:history="1">
        <w:r w:rsidRPr="00C855CA">
          <w:rPr>
            <w:rFonts w:ascii="Times New Roman" w:eastAsia="Times New Roman" w:hAnsi="Times New Roman" w:cs="Times New Roman"/>
            <w:b/>
            <w:bCs/>
            <w:color w:val="006FAD"/>
            <w:spacing w:val="5"/>
            <w:sz w:val="24"/>
            <w:szCs w:val="24"/>
            <w:lang w:eastAsia="cs-CZ"/>
          </w:rPr>
          <w:t>www.prihlaska.upol.cz</w:t>
        </w:r>
      </w:hyperlink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 </w:t>
      </w:r>
    </w:p>
    <w:p w:rsidR="0089217E" w:rsidRPr="00C855CA" w:rsidRDefault="0089217E" w:rsidP="0089217E">
      <w:pPr>
        <w:shd w:val="clear" w:color="auto" w:fill="FFFFFF"/>
        <w:spacing w:before="330" w:after="165" w:line="240" w:lineRule="auto"/>
        <w:outlineLvl w:val="2"/>
        <w:rPr>
          <w:rFonts w:ascii="Times New Roman" w:eastAsia="Times New Roman" w:hAnsi="Times New Roman" w:cs="Times New Roman"/>
          <w:color w:val="4C4C4E"/>
          <w:spacing w:val="5"/>
          <w:sz w:val="33"/>
          <w:szCs w:val="33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33"/>
          <w:szCs w:val="33"/>
          <w:lang w:eastAsia="cs-CZ"/>
        </w:rPr>
        <w:t>Náležitosti přihlášky ke studiu</w:t>
      </w:r>
    </w:p>
    <w:p w:rsidR="00C855CA" w:rsidRPr="00660F81" w:rsidRDefault="0089217E" w:rsidP="00660F81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>Úředně ověřenou kopii dokladu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 o řádném ukončení vzdělání s maturitní zkouškou (</w:t>
      </w:r>
      <w:r w:rsidRPr="00C855CA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>maturitní vysvědčení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) nebo úředně ověřenou kopii dokladu o řádném ukončení studia v bakalářském studijním programu (</w:t>
      </w:r>
      <w:r w:rsidRPr="00C855CA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>diplom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) dodá přijatý uchazeč </w:t>
      </w:r>
      <w:r w:rsidRPr="00C855CA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>při zápisu ke studiu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. Počet dodaných úředně ověřených kopií závisí na počtu </w:t>
      </w:r>
      <w:r w:rsidR="00826DEF"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programů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, na které </w:t>
      </w:r>
      <w:proofErr w:type="gramStart"/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byl</w:t>
      </w:r>
      <w:proofErr w:type="gramEnd"/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 uchazeč přijat </w:t>
      </w:r>
      <w:r w:rsidR="00841280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Uchazeč </w:t>
      </w:r>
      <w:proofErr w:type="gramStart"/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musí</w:t>
      </w:r>
      <w:proofErr w:type="gramEnd"/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 mít ukončeno předchozí studium </w:t>
      </w:r>
      <w:r w:rsidRPr="00C855CA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>nejpozději v době zápisu ke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 </w:t>
      </w:r>
      <w:r w:rsidRPr="00C855CA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>studiu</w:t>
      </w:r>
      <w:r w:rsidR="00011E06" w:rsidRPr="00C855CA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 xml:space="preserve"> (</w:t>
      </w:r>
      <w:r w:rsidR="00841280" w:rsidRPr="00841280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u w:val="single"/>
          <w:lang w:eastAsia="cs-CZ"/>
        </w:rPr>
        <w:t>20. – 23. 8.</w:t>
      </w:r>
      <w:r w:rsidR="00011E06" w:rsidRPr="00841280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u w:val="single"/>
          <w:lang w:eastAsia="cs-CZ"/>
        </w:rPr>
        <w:t xml:space="preserve"> 2019</w:t>
      </w:r>
      <w:r w:rsidR="00011E06" w:rsidRPr="00C855CA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>).</w:t>
      </w:r>
    </w:p>
    <w:p w:rsidR="00BA5C75" w:rsidRPr="00A01BC1" w:rsidRDefault="00C855CA" w:rsidP="00A01BC1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Uchazeči o studium oboru </w:t>
      </w:r>
      <w:r w:rsidRPr="00C855CA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Logopedie</w:t>
      </w:r>
      <w:r w:rsidRPr="00C855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povinni v den zápisu ke studiu doložit  potvrzení o své zdravotní způsobilosti (potvrzení o odborném foniatrickém vyšetření dosvědčující nenarušenou</w:t>
      </w:r>
      <w:r w:rsidR="00A01B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řeč a hlas uchazeče o studium). J</w:t>
      </w:r>
      <w:r w:rsidRPr="00C855C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cs-CZ"/>
        </w:rPr>
        <w:t xml:space="preserve">ako potvrzení slouží adekvátní lékařská zpráva daného odborníka (ze strany </w:t>
      </w:r>
      <w:proofErr w:type="spellStart"/>
      <w:r w:rsidRPr="00C855C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cs-CZ"/>
        </w:rPr>
        <w:t>PdF</w:t>
      </w:r>
      <w:proofErr w:type="spellEnd"/>
      <w:r w:rsidRPr="00C855CA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cs-CZ"/>
        </w:rPr>
        <w:t xml:space="preserve"> UP není dostupný žádný formulář).</w:t>
      </w:r>
      <w:r w:rsidRPr="00C855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potvrzení je třeba uvádět zvolený obor a formu studia (označí si sám uchazeč). Potvrzení  vystavena pře 1. 3. 2019 budou považována za neplatná. Veškeré dotazy s tímto vyšetřením směřujte na  Mgr. Evu Švecovou (</w:t>
      </w:r>
      <w:hyperlink r:id="rId7" w:tgtFrame="_blank" w:history="1">
        <w:r w:rsidRPr="00C855C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eva.svecova01@upol.cz</w:t>
        </w:r>
      </w:hyperlink>
      <w:r w:rsidRPr="00C855CA">
        <w:rPr>
          <w:rFonts w:ascii="Times New Roman" w:eastAsia="Times New Roman" w:hAnsi="Times New Roman" w:cs="Times New Roman"/>
          <w:sz w:val="24"/>
          <w:szCs w:val="24"/>
          <w:lang w:eastAsia="cs-CZ"/>
        </w:rPr>
        <w:t>, tel.: 585635305).</w:t>
      </w:r>
      <w:r w:rsidR="00A01BC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A5C75" w:rsidRPr="00C855CA">
        <w:rPr>
          <w:rFonts w:ascii="Times New Roman" w:hAnsi="Times New Roman" w:cs="Times New Roman"/>
          <w:sz w:val="24"/>
          <w:szCs w:val="24"/>
        </w:rPr>
        <w:t xml:space="preserve">Důvodem je příprava na povolání hlasového profesionála (definice dle Evropské unie foniatrů a naplnění zákona o prevenci zdraví - Kapitola VI Nemoci z povolání způsobené ostatními faktory a činiteli – prevence nemoci vznikajících při práci spojené na hlasivkách, těžká nedomykavost hlasivek s vysokou profesionálně nebo těžká </w:t>
      </w:r>
      <w:proofErr w:type="spellStart"/>
      <w:r w:rsidR="00BA5C75" w:rsidRPr="00C855CA">
        <w:rPr>
          <w:rFonts w:ascii="Times New Roman" w:hAnsi="Times New Roman" w:cs="Times New Roman"/>
          <w:sz w:val="24"/>
          <w:szCs w:val="24"/>
        </w:rPr>
        <w:t>fonastenie</w:t>
      </w:r>
      <w:proofErr w:type="spellEnd"/>
      <w:r w:rsidR="00BA5C75" w:rsidRPr="00C855CA">
        <w:rPr>
          <w:rFonts w:ascii="Times New Roman" w:hAnsi="Times New Roman" w:cs="Times New Roman"/>
          <w:sz w:val="24"/>
          <w:szCs w:val="24"/>
        </w:rPr>
        <w:t>, pokud jsou trvalé podmíněnou hlasovou námahou).</w:t>
      </w:r>
    </w:p>
    <w:p w:rsidR="0089217E" w:rsidRPr="00C855CA" w:rsidRDefault="0089217E" w:rsidP="0089217E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 </w:t>
      </w:r>
    </w:p>
    <w:p w:rsidR="0089217E" w:rsidRPr="00C855CA" w:rsidRDefault="0089217E" w:rsidP="0089217E">
      <w:pPr>
        <w:shd w:val="clear" w:color="auto" w:fill="FFFFFF"/>
        <w:spacing w:before="330" w:after="165" w:line="240" w:lineRule="auto"/>
        <w:outlineLvl w:val="1"/>
        <w:rPr>
          <w:rFonts w:ascii="Times New Roman" w:eastAsia="Times New Roman" w:hAnsi="Times New Roman" w:cs="Times New Roman"/>
          <w:color w:val="4C4C4E"/>
          <w:spacing w:val="5"/>
          <w:sz w:val="39"/>
          <w:szCs w:val="39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39"/>
          <w:szCs w:val="39"/>
          <w:lang w:eastAsia="cs-CZ"/>
        </w:rPr>
        <w:t>Informace o přijímacích zkouškách</w:t>
      </w:r>
    </w:p>
    <w:p w:rsidR="0089217E" w:rsidRPr="00C855CA" w:rsidRDefault="0089217E" w:rsidP="0089217E">
      <w:pPr>
        <w:shd w:val="clear" w:color="auto" w:fill="FFFFFF"/>
        <w:spacing w:before="330" w:after="165" w:line="240" w:lineRule="auto"/>
        <w:outlineLvl w:val="2"/>
        <w:rPr>
          <w:rFonts w:ascii="Times New Roman" w:eastAsia="Times New Roman" w:hAnsi="Times New Roman" w:cs="Times New Roman"/>
          <w:color w:val="4C4C4E"/>
          <w:spacing w:val="5"/>
          <w:sz w:val="33"/>
          <w:szCs w:val="33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33"/>
          <w:szCs w:val="33"/>
          <w:lang w:eastAsia="cs-CZ"/>
        </w:rPr>
        <w:t>Test studijních předpokladů</w:t>
      </w:r>
    </w:p>
    <w:p w:rsidR="0089217E" w:rsidRPr="00C855CA" w:rsidRDefault="0089217E" w:rsidP="0089217E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Součástí přijímací zkoušky je ve všech studijních programech s výjimkou navazujících magisterských a doktorských studijních programů) test studijních předpokladů. </w:t>
      </w:r>
    </w:p>
    <w:p w:rsidR="0089217E" w:rsidRPr="00C855CA" w:rsidRDefault="0089217E" w:rsidP="0089217E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Podá-li uchazeč na Pedagogické fakultě UP přihlášku na více </w:t>
      </w:r>
      <w:r w:rsidR="00826DEF"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programů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, absolvuje v daném roce test pouze jednou. Jeho výsledky se započítávají ke všem přihláškám na </w:t>
      </w:r>
      <w:r w:rsidR="00826DEF"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programy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, pro které je TSP součástí přijímací zkoušky. </w:t>
      </w:r>
    </w:p>
    <w:p w:rsidR="0089217E" w:rsidRPr="00C855CA" w:rsidRDefault="00826DEF" w:rsidP="0089217E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Test je složen ze </w:t>
      </w:r>
      <w:r w:rsidR="0089217E" w:rsidRPr="00C855CA">
        <w:rPr>
          <w:rFonts w:ascii="Times New Roman" w:eastAsia="Times New Roman" w:hAnsi="Times New Roman" w:cs="Times New Roman"/>
          <w:i/>
          <w:iCs/>
          <w:color w:val="4C4C4E"/>
          <w:spacing w:val="5"/>
          <w:sz w:val="24"/>
          <w:szCs w:val="24"/>
          <w:lang w:eastAsia="cs-CZ"/>
        </w:rPr>
        <w:t>60</w:t>
      </w:r>
      <w:r w:rsidR="0089217E"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 otázek, ze </w:t>
      </w:r>
      <w:r w:rsidR="0089217E" w:rsidRPr="00C855CA">
        <w:rPr>
          <w:rFonts w:ascii="Times New Roman" w:eastAsia="Times New Roman" w:hAnsi="Times New Roman" w:cs="Times New Roman"/>
          <w:i/>
          <w:iCs/>
          <w:color w:val="4C4C4E"/>
          <w:spacing w:val="5"/>
          <w:sz w:val="24"/>
          <w:szCs w:val="24"/>
          <w:lang w:eastAsia="cs-CZ"/>
        </w:rPr>
        <w:t>čtyř</w:t>
      </w:r>
      <w:r w:rsidR="0089217E"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 nabídnutých odpovědí je vždy jedna správná. Za každou správnou odpověď získá uchazeč jeden bod, za nesprávné odpovědi či nezodpovězené otázky se body neodečítají. Maximální délka trvání testu je </w:t>
      </w:r>
      <w:r w:rsidR="0089217E" w:rsidRPr="00C855CA">
        <w:rPr>
          <w:rFonts w:ascii="Times New Roman" w:eastAsia="Times New Roman" w:hAnsi="Times New Roman" w:cs="Times New Roman"/>
          <w:i/>
          <w:iCs/>
          <w:color w:val="4C4C4E"/>
          <w:spacing w:val="5"/>
          <w:sz w:val="24"/>
          <w:szCs w:val="24"/>
          <w:lang w:eastAsia="cs-CZ"/>
        </w:rPr>
        <w:t>60</w:t>
      </w:r>
      <w:r w:rsidR="0089217E"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 minut. </w:t>
      </w:r>
    </w:p>
    <w:p w:rsidR="0089217E" w:rsidRPr="00C855CA" w:rsidRDefault="0089217E" w:rsidP="0089217E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lastRenderedPageBreak/>
        <w:t xml:space="preserve">Uchazeč testem prokazuje své kompetence a předpoklady pro vysokoškolské studium na Pedagogické fakultě UP: </w:t>
      </w:r>
      <w:r w:rsidRPr="00C855CA">
        <w:rPr>
          <w:rFonts w:ascii="Times New Roman" w:eastAsia="Times New Roman" w:hAnsi="Times New Roman" w:cs="Times New Roman"/>
          <w:i/>
          <w:iCs/>
          <w:color w:val="4C4C4E"/>
          <w:spacing w:val="5"/>
          <w:sz w:val="24"/>
          <w:szCs w:val="24"/>
          <w:lang w:eastAsia="cs-CZ"/>
        </w:rPr>
        <w:t>úroveň myšlení a usuzování, základní orientaci ve všeobecných znalostech ze společenskovědní tematiky a kulturní přehled, kompetence komunikativní (v českém jazyce) a základy počítačové gramotnosti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. </w:t>
      </w:r>
    </w:p>
    <w:p w:rsidR="0089217E" w:rsidRPr="00C855CA" w:rsidRDefault="0089217E" w:rsidP="0089217E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 </w:t>
      </w:r>
    </w:p>
    <w:p w:rsidR="0089217E" w:rsidRPr="00C855CA" w:rsidRDefault="0089217E" w:rsidP="0089217E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Oblasti testu studijních předpokladů:</w:t>
      </w:r>
    </w:p>
    <w:p w:rsidR="0089217E" w:rsidRPr="00C855CA" w:rsidRDefault="0089217E" w:rsidP="008921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 Test úrovně myšlení a usuzování</w:t>
      </w:r>
    </w:p>
    <w:p w:rsidR="0089217E" w:rsidRPr="00C855CA" w:rsidRDefault="0089217E" w:rsidP="008921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Český jazyk a literatura – dílčí část testu studijních předpokladů je zaměřena na znalosti oblasti českého jazyka a literatury ve struktuře a rozsahu požadavků státní maturitní zkoušky.</w:t>
      </w:r>
    </w:p>
    <w:p w:rsidR="0089217E" w:rsidRPr="00C855CA" w:rsidRDefault="0089217E" w:rsidP="008921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Základy společenských věd – dílčí část testu studijních předpokladů je zaměřena na následující oblasti:</w:t>
      </w:r>
    </w:p>
    <w:p w:rsidR="0089217E" w:rsidRPr="00C855CA" w:rsidRDefault="0089217E" w:rsidP="0089217E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základní orientace v oblasti sociologických kategorií a teorií;</w:t>
      </w:r>
    </w:p>
    <w:p w:rsidR="0089217E" w:rsidRPr="00C855CA" w:rsidRDefault="0089217E" w:rsidP="0089217E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základní orientace v oblasti ekonomie;</w:t>
      </w:r>
    </w:p>
    <w:p w:rsidR="0089217E" w:rsidRPr="00C855CA" w:rsidRDefault="0089217E" w:rsidP="0089217E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základní orientace v oblasti politologie;</w:t>
      </w:r>
    </w:p>
    <w:p w:rsidR="0089217E" w:rsidRPr="00C855CA" w:rsidRDefault="0089217E" w:rsidP="0089217E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základní orientace v oblasti psychologických kategorií a teorií,</w:t>
      </w:r>
    </w:p>
    <w:p w:rsidR="0089217E" w:rsidRPr="00C855CA" w:rsidRDefault="0089217E" w:rsidP="0089217E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základní orientace v oblasti teorie státu a práva;</w:t>
      </w:r>
    </w:p>
    <w:p w:rsidR="0089217E" w:rsidRPr="00C855CA" w:rsidRDefault="0089217E" w:rsidP="0089217E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základní orientace v oblasti filosofie – teorie a kategorie.</w:t>
      </w:r>
    </w:p>
    <w:p w:rsidR="0089217E" w:rsidRPr="00C855CA" w:rsidRDefault="0089217E" w:rsidP="0089217E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Doporučená literatura:</w:t>
      </w:r>
      <w:r w:rsidRPr="00C855CA">
        <w:rPr>
          <w:rFonts w:ascii="Times New Roman" w:eastAsia="Times New Roman" w:hAnsi="Times New Roman" w:cs="Times New Roman"/>
          <w:i/>
          <w:iCs/>
          <w:color w:val="4C4C4E"/>
          <w:spacing w:val="5"/>
          <w:sz w:val="24"/>
          <w:szCs w:val="24"/>
          <w:lang w:eastAsia="cs-CZ"/>
        </w:rPr>
        <w:t xml:space="preserve"> Odmaturuj ze společenských věd. 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Ostrava: </w:t>
      </w:r>
      <w:proofErr w:type="spellStart"/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Didaktis</w:t>
      </w:r>
      <w:proofErr w:type="spellEnd"/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, 2015. ISBN 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val="en" w:eastAsia="cs-CZ"/>
        </w:rPr>
        <w:t>9788073582432</w:t>
      </w:r>
    </w:p>
    <w:p w:rsidR="0089217E" w:rsidRPr="00C855CA" w:rsidRDefault="0089217E" w:rsidP="008921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Dějepis – dílčí část testu studijních předpokladů je zaměřena na následující oblasti:</w:t>
      </w:r>
    </w:p>
    <w:p w:rsidR="0089217E" w:rsidRPr="00C855CA" w:rsidRDefault="0089217E" w:rsidP="0089217E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základní orientace v dějinách pravěku a starověku;</w:t>
      </w:r>
    </w:p>
    <w:p w:rsidR="0089217E" w:rsidRPr="00C855CA" w:rsidRDefault="0089217E" w:rsidP="0089217E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základní orientace v českých a světových dějinách středověku – důraz na politické a kulturní dějiny; </w:t>
      </w:r>
    </w:p>
    <w:p w:rsidR="0089217E" w:rsidRPr="00C855CA" w:rsidRDefault="0089217E" w:rsidP="0089217E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základní orientace v českých a světových dějinách novověku a moderních dějin – důraz na politické a kulturní dějiny.</w:t>
      </w:r>
    </w:p>
    <w:p w:rsidR="0089217E" w:rsidRPr="00C855CA" w:rsidRDefault="0089217E" w:rsidP="0089217E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ind w:left="1215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Doporučená literatura:</w:t>
      </w:r>
      <w:r w:rsidRPr="00C855CA">
        <w:rPr>
          <w:rFonts w:ascii="Times New Roman" w:eastAsia="Times New Roman" w:hAnsi="Times New Roman" w:cs="Times New Roman"/>
          <w:i/>
          <w:iCs/>
          <w:color w:val="4C4C4E"/>
          <w:spacing w:val="5"/>
          <w:sz w:val="24"/>
          <w:szCs w:val="24"/>
          <w:lang w:val="en" w:eastAsia="cs-CZ"/>
        </w:rPr>
        <w:t xml:space="preserve"> </w:t>
      </w:r>
      <w:r w:rsidRPr="00C855CA">
        <w:rPr>
          <w:rFonts w:ascii="Times New Roman" w:eastAsia="Times New Roman" w:hAnsi="Times New Roman" w:cs="Times New Roman"/>
          <w:i/>
          <w:iCs/>
          <w:color w:val="4C4C4E"/>
          <w:spacing w:val="5"/>
          <w:sz w:val="24"/>
          <w:szCs w:val="24"/>
          <w:lang w:val="en" w:eastAsia="cs-CZ"/>
        </w:rPr>
        <w:br/>
      </w:r>
      <w:proofErr w:type="spellStart"/>
      <w:r w:rsidRPr="00C855CA">
        <w:rPr>
          <w:rFonts w:ascii="Times New Roman" w:eastAsia="Times New Roman" w:hAnsi="Times New Roman" w:cs="Times New Roman"/>
          <w:i/>
          <w:iCs/>
          <w:color w:val="4C4C4E"/>
          <w:spacing w:val="5"/>
          <w:sz w:val="24"/>
          <w:szCs w:val="24"/>
          <w:lang w:val="en" w:eastAsia="cs-CZ"/>
        </w:rPr>
        <w:t>Odmaturuj</w:t>
      </w:r>
      <w:proofErr w:type="spellEnd"/>
      <w:r w:rsidRPr="00C855CA">
        <w:rPr>
          <w:rFonts w:ascii="Times New Roman" w:eastAsia="Times New Roman" w:hAnsi="Times New Roman" w:cs="Times New Roman"/>
          <w:i/>
          <w:iCs/>
          <w:color w:val="4C4C4E"/>
          <w:spacing w:val="5"/>
          <w:sz w:val="24"/>
          <w:szCs w:val="24"/>
          <w:lang w:val="en" w:eastAsia="cs-CZ"/>
        </w:rPr>
        <w:t xml:space="preserve"> z </w:t>
      </w:r>
      <w:proofErr w:type="spellStart"/>
      <w:r w:rsidRPr="00C855CA">
        <w:rPr>
          <w:rFonts w:ascii="Times New Roman" w:eastAsia="Times New Roman" w:hAnsi="Times New Roman" w:cs="Times New Roman"/>
          <w:i/>
          <w:iCs/>
          <w:color w:val="4C4C4E"/>
          <w:spacing w:val="5"/>
          <w:sz w:val="24"/>
          <w:szCs w:val="24"/>
          <w:lang w:val="en" w:eastAsia="cs-CZ"/>
        </w:rPr>
        <w:t>dějepisu</w:t>
      </w:r>
      <w:proofErr w:type="spellEnd"/>
      <w:r w:rsidRPr="00C855CA">
        <w:rPr>
          <w:rFonts w:ascii="Times New Roman" w:eastAsia="Times New Roman" w:hAnsi="Times New Roman" w:cs="Times New Roman"/>
          <w:i/>
          <w:iCs/>
          <w:color w:val="4C4C4E"/>
          <w:spacing w:val="5"/>
          <w:sz w:val="24"/>
          <w:szCs w:val="24"/>
          <w:lang w:val="en" w:eastAsia="cs-CZ"/>
        </w:rPr>
        <w:t xml:space="preserve"> 1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val="en" w:eastAsia="cs-CZ"/>
        </w:rPr>
        <w:t xml:space="preserve">. Ostrava: </w:t>
      </w:r>
      <w:proofErr w:type="spellStart"/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val="en" w:eastAsia="cs-CZ"/>
        </w:rPr>
        <w:t>Didaktis</w:t>
      </w:r>
      <w:proofErr w:type="spellEnd"/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val="en" w:eastAsia="cs-CZ"/>
        </w:rPr>
        <w:t xml:space="preserve">, 2006. ISBN 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9788073580599                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br/>
      </w:r>
      <w:r w:rsidRPr="00C855CA">
        <w:rPr>
          <w:rFonts w:ascii="Times New Roman" w:eastAsia="Times New Roman" w:hAnsi="Times New Roman" w:cs="Times New Roman"/>
          <w:i/>
          <w:iCs/>
          <w:color w:val="4C4C4E"/>
          <w:spacing w:val="5"/>
          <w:sz w:val="24"/>
          <w:szCs w:val="24"/>
          <w:lang w:eastAsia="cs-CZ"/>
        </w:rPr>
        <w:t>Odmaturuj z dějepisu 2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. Ostrava: </w:t>
      </w:r>
      <w:proofErr w:type="spellStart"/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Didaktis</w:t>
      </w:r>
      <w:proofErr w:type="spellEnd"/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, 2006. ISBN 9788073580691 </w:t>
      </w:r>
    </w:p>
    <w:p w:rsidR="0089217E" w:rsidRPr="00C855CA" w:rsidRDefault="0089217E" w:rsidP="0089217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Základy počítačové gramotnosti – ověřování elementární uživatelské schopnosti uchazečů.</w:t>
      </w:r>
    </w:p>
    <w:p w:rsidR="0089217E" w:rsidRPr="00660F81" w:rsidRDefault="0089217E" w:rsidP="00660F8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Doporučujeme pravidelné sledování aktuálního kulturně společenského a politického dění. </w:t>
      </w:r>
    </w:p>
    <w:p w:rsidR="0089217E" w:rsidRPr="00C855CA" w:rsidRDefault="0089217E" w:rsidP="0089217E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K vyhodnocení TSP je použit odpovědní formulář, který je strojově snímán a anonymně elektronicky zpracován. Odpovědní formulář je identifikován přiděleným univerzitním číslem, které je studentovi zasláno v </w:t>
      </w:r>
      <w:r w:rsidR="003A4B93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p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ozvánce k přijímací zkoušce. </w:t>
      </w:r>
    </w:p>
    <w:p w:rsidR="0089217E" w:rsidRPr="00C855CA" w:rsidRDefault="0089217E" w:rsidP="0089217E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Na některé </w:t>
      </w:r>
      <w:r w:rsidR="00826DEF"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programy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 je předmětem přijímací zkoušky i oborový test, talentová zkouška nebo ústní zkouška. Tyto zkoušky se konají zpravidla tentýž den jako TSP.   </w:t>
      </w:r>
    </w:p>
    <w:p w:rsidR="0089217E" w:rsidRPr="00C855CA" w:rsidRDefault="0089217E" w:rsidP="0089217E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Požadavky a předměty přijímací zkoušky budou konkretizovány na webových stránkách UP v </w:t>
      </w:r>
      <w:hyperlink r:id="rId8" w:tgtFrame="_blank" w:tooltip="Opens external link in new window" w:history="1">
        <w:r w:rsidRPr="00C855CA">
          <w:rPr>
            <w:rFonts w:ascii="Times New Roman" w:eastAsia="Times New Roman" w:hAnsi="Times New Roman" w:cs="Times New Roman"/>
            <w:color w:val="006FAD"/>
            <w:spacing w:val="5"/>
            <w:sz w:val="24"/>
            <w:szCs w:val="24"/>
            <w:lang w:eastAsia="cs-CZ"/>
          </w:rPr>
          <w:t>Katalogu studijních oborů</w:t>
        </w:r>
      </w:hyperlink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.</w:t>
      </w:r>
    </w:p>
    <w:p w:rsidR="00660F81" w:rsidRDefault="00660F81" w:rsidP="0089217E">
      <w:pPr>
        <w:shd w:val="clear" w:color="auto" w:fill="FFFFFF"/>
        <w:spacing w:before="330" w:after="165" w:line="240" w:lineRule="auto"/>
        <w:outlineLvl w:val="1"/>
        <w:rPr>
          <w:rFonts w:ascii="Times New Roman" w:eastAsia="Times New Roman" w:hAnsi="Times New Roman" w:cs="Times New Roman"/>
          <w:color w:val="4C4C4E"/>
          <w:spacing w:val="5"/>
          <w:sz w:val="39"/>
          <w:szCs w:val="39"/>
          <w:lang w:eastAsia="cs-CZ"/>
        </w:rPr>
      </w:pPr>
    </w:p>
    <w:p w:rsidR="0089217E" w:rsidRPr="00C855CA" w:rsidRDefault="0089217E" w:rsidP="0089217E">
      <w:pPr>
        <w:shd w:val="clear" w:color="auto" w:fill="FFFFFF"/>
        <w:spacing w:before="330" w:after="165" w:line="240" w:lineRule="auto"/>
        <w:outlineLvl w:val="1"/>
        <w:rPr>
          <w:rFonts w:ascii="Times New Roman" w:eastAsia="Times New Roman" w:hAnsi="Times New Roman" w:cs="Times New Roman"/>
          <w:color w:val="4C4C4E"/>
          <w:spacing w:val="5"/>
          <w:sz w:val="39"/>
          <w:szCs w:val="39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39"/>
          <w:szCs w:val="39"/>
          <w:lang w:eastAsia="cs-CZ"/>
        </w:rPr>
        <w:lastRenderedPageBreak/>
        <w:t>Prominutí přijímacích zkoušek</w:t>
      </w:r>
    </w:p>
    <w:p w:rsidR="0089217E" w:rsidRPr="00C855CA" w:rsidRDefault="0089217E" w:rsidP="0089217E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Na studijní </w:t>
      </w:r>
      <w:r w:rsidR="00826DEF"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programy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, kde počet přihlášek výrazně nepřekročí kapacitu </w:t>
      </w:r>
      <w:r w:rsidR="00826DEF"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programu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, může děkan fakulty uchazečům o studium prominout přijímací zkoušku. </w:t>
      </w:r>
    </w:p>
    <w:p w:rsidR="0089217E" w:rsidRPr="00C855CA" w:rsidRDefault="0089217E" w:rsidP="0089217E">
      <w:pPr>
        <w:shd w:val="clear" w:color="auto" w:fill="FFFFFF"/>
        <w:spacing w:before="330" w:after="165" w:line="240" w:lineRule="auto"/>
        <w:outlineLvl w:val="1"/>
        <w:rPr>
          <w:rFonts w:ascii="Times New Roman" w:eastAsia="Times New Roman" w:hAnsi="Times New Roman" w:cs="Times New Roman"/>
          <w:color w:val="4C4C4E"/>
          <w:spacing w:val="5"/>
          <w:sz w:val="39"/>
          <w:szCs w:val="39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39"/>
          <w:szCs w:val="39"/>
          <w:lang w:eastAsia="cs-CZ"/>
        </w:rPr>
        <w:t>Doplňující informace</w:t>
      </w:r>
    </w:p>
    <w:p w:rsidR="00316D81" w:rsidRDefault="0089217E" w:rsidP="00660F8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Uchazeči, kteří se hlásí na více studijních programů, typů nebo forem studia na fakultě, jsou povinni podat na </w:t>
      </w:r>
      <w:r w:rsidRPr="00C855CA">
        <w:rPr>
          <w:rFonts w:ascii="Times New Roman" w:eastAsia="Times New Roman" w:hAnsi="Times New Roman" w:cs="Times New Roman"/>
          <w:i/>
          <w:iCs/>
          <w:color w:val="4C4C4E"/>
          <w:spacing w:val="5"/>
          <w:sz w:val="24"/>
          <w:szCs w:val="24"/>
          <w:lang w:eastAsia="cs-CZ"/>
        </w:rPr>
        <w:t xml:space="preserve">každý </w:t>
      </w:r>
      <w:r w:rsidR="00826DEF" w:rsidRPr="00C855CA">
        <w:rPr>
          <w:rFonts w:ascii="Times New Roman" w:eastAsia="Times New Roman" w:hAnsi="Times New Roman" w:cs="Times New Roman"/>
          <w:i/>
          <w:iCs/>
          <w:color w:val="4C4C4E"/>
          <w:spacing w:val="5"/>
          <w:sz w:val="24"/>
          <w:szCs w:val="24"/>
          <w:lang w:eastAsia="cs-CZ"/>
        </w:rPr>
        <w:t>program</w:t>
      </w:r>
      <w:r w:rsidRPr="00C855CA">
        <w:rPr>
          <w:rFonts w:ascii="Times New Roman" w:eastAsia="Times New Roman" w:hAnsi="Times New Roman" w:cs="Times New Roman"/>
          <w:i/>
          <w:iCs/>
          <w:color w:val="4C4C4E"/>
          <w:spacing w:val="5"/>
          <w:sz w:val="24"/>
          <w:szCs w:val="24"/>
          <w:lang w:eastAsia="cs-CZ"/>
        </w:rPr>
        <w:t xml:space="preserve"> samostatnou přihlášku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 a uhradit </w:t>
      </w:r>
      <w:r w:rsidRPr="00C855CA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>poplatek za úkony spojené s přijímacím řízením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. V případě kombinace dvou </w:t>
      </w:r>
      <w:r w:rsidR="00826DEF"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programů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 studia </w:t>
      </w:r>
      <w:r w:rsidR="00826DEF"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(maior, minor) 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zasílá uchazeč jednu přihlášku na t</w:t>
      </w:r>
      <w:r w:rsidR="00826DEF"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ento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 </w:t>
      </w:r>
      <w:r w:rsidR="00826DEF"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program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 dvou studijních </w:t>
      </w:r>
      <w:r w:rsidR="00826DEF"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programů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. </w:t>
      </w:r>
      <w:r w:rsidR="00826DEF"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Možné kombinace programů jsou zveřejněny přímo v elektronické přihlášce. </w:t>
      </w:r>
      <w:r w:rsidRPr="00C855CA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>Poplatek za úkony spojené s přijímacím řízením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 za každou přihlášku musí být zaplacen samostatně, s variabilním symbolem odvozeným od čísla přihlášky na daný studijní </w:t>
      </w:r>
      <w:r w:rsidR="00316D81"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program. </w:t>
      </w:r>
    </w:p>
    <w:p w:rsidR="00907090" w:rsidRPr="00C855CA" w:rsidRDefault="00907090" w:rsidP="004D66B5">
      <w:pPr>
        <w:numPr>
          <w:ilvl w:val="0"/>
          <w:numId w:val="9"/>
        </w:numPr>
        <w:shd w:val="clear" w:color="auto" w:fill="FFFFFF"/>
        <w:spacing w:before="120" w:after="0" w:line="240" w:lineRule="auto"/>
        <w:ind w:left="493" w:hanging="357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hAnsi="Times New Roman" w:cs="Times New Roman"/>
          <w:spacing w:val="5"/>
          <w:sz w:val="24"/>
          <w:szCs w:val="24"/>
        </w:rPr>
        <w:t>Pozvánky k přijímacímu řízení budou k dispozici ke stažení prostřednictvím aplikace Elektronické přihlášky nejpozději 28 dní před datem konání přijímací zkouš</w:t>
      </w:r>
      <w:r w:rsidR="0082677F" w:rsidRPr="00C855CA">
        <w:rPr>
          <w:rFonts w:ascii="Times New Roman" w:hAnsi="Times New Roman" w:cs="Times New Roman"/>
          <w:spacing w:val="5"/>
          <w:sz w:val="24"/>
          <w:szCs w:val="24"/>
        </w:rPr>
        <w:t>ky (v průběhu měsíce května 2019</w:t>
      </w:r>
      <w:r w:rsidRPr="00C855CA">
        <w:rPr>
          <w:rFonts w:ascii="Times New Roman" w:hAnsi="Times New Roman" w:cs="Times New Roman"/>
          <w:spacing w:val="5"/>
          <w:sz w:val="24"/>
          <w:szCs w:val="24"/>
        </w:rPr>
        <w:t>). Tento způsob distribuce pozvánek nahrazuje klasický způsob rozesílání pozvánek prostřednictvím provozovatele poštovních služeb.  Termín, na který je uchazeč pozván, se pro něj stává závazný</w:t>
      </w:r>
      <w:r w:rsidR="00316D81" w:rsidRPr="00C855CA">
        <w:rPr>
          <w:rFonts w:ascii="Times New Roman" w:hAnsi="Times New Roman" w:cs="Times New Roman"/>
          <w:spacing w:val="5"/>
          <w:sz w:val="24"/>
          <w:szCs w:val="24"/>
        </w:rPr>
        <w:t>.</w:t>
      </w:r>
    </w:p>
    <w:p w:rsidR="0089217E" w:rsidRPr="00C855CA" w:rsidRDefault="0089217E" w:rsidP="004D66B5">
      <w:pPr>
        <w:numPr>
          <w:ilvl w:val="0"/>
          <w:numId w:val="11"/>
        </w:numPr>
        <w:shd w:val="clear" w:color="auto" w:fill="FFFFFF"/>
        <w:spacing w:before="240" w:after="100" w:afterAutospacing="1" w:line="240" w:lineRule="auto"/>
        <w:ind w:left="493" w:hanging="357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Při podání více přihlášek mohou při přijímacích zkouškách vzniknout vzájemné termínové kolize, které fakulta nemůže zohledňovat, proto </w:t>
      </w:r>
      <w:r w:rsidRPr="00C855CA">
        <w:rPr>
          <w:rFonts w:ascii="Times New Roman" w:eastAsia="Times New Roman" w:hAnsi="Times New Roman" w:cs="Times New Roman"/>
          <w:i/>
          <w:iCs/>
          <w:color w:val="4C4C4E"/>
          <w:spacing w:val="5"/>
          <w:sz w:val="24"/>
          <w:szCs w:val="24"/>
          <w:lang w:eastAsia="cs-CZ"/>
        </w:rPr>
        <w:t>náhradní termín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 přijímacích zkoušek nebude realizován. </w:t>
      </w:r>
    </w:p>
    <w:p w:rsidR="00316D81" w:rsidRPr="00C855CA" w:rsidRDefault="0089217E" w:rsidP="004D66B5">
      <w:pPr>
        <w:numPr>
          <w:ilvl w:val="0"/>
          <w:numId w:val="11"/>
        </w:numPr>
        <w:shd w:val="clear" w:color="auto" w:fill="FFFFFF"/>
        <w:spacing w:before="240" w:after="100" w:afterAutospacing="1" w:line="240" w:lineRule="auto"/>
        <w:ind w:left="493" w:hanging="357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>Uchazeči se specifickými potřebami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 vyplývajícími ze zdravotního postižení, kteří vyžadují  zohlednění svých specifických potřeb u přijímací zkoušky, uvedou si tuto skutečnost v e-přihlášce (do poznámky). Se svými požadavky se mohou také obracet na Centrum podpory studentů se specifickými potřebami Univerzity Palackého (http://www.cps.upol.cz/).     </w:t>
      </w:r>
    </w:p>
    <w:p w:rsidR="0089217E" w:rsidRPr="00C855CA" w:rsidRDefault="0089217E" w:rsidP="0089217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Uchazeč má právo </w:t>
      </w:r>
      <w:r w:rsidRPr="00C855CA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 xml:space="preserve">nahlédnout do všech svých materiálů, 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které mají význam pro rozhodnutí o jeho přijetí ke studiu. Přesný termín bude uchazeči sdělen v den konání přijímací zkoušky. Zároveň bude termín nahlížení uchazečů do materiálů zveřejněn na webových stránkách fakulty.</w:t>
      </w:r>
    </w:p>
    <w:p w:rsidR="0089217E" w:rsidRPr="00C855CA" w:rsidRDefault="0089217E" w:rsidP="0089217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b/>
          <w:bCs/>
          <w:i/>
          <w:iCs/>
          <w:color w:val="4C4C4E"/>
          <w:spacing w:val="5"/>
          <w:sz w:val="24"/>
          <w:szCs w:val="24"/>
          <w:lang w:eastAsia="cs-CZ"/>
        </w:rPr>
        <w:t>Písemné rozhodnutí o přijetí</w:t>
      </w:r>
      <w:r w:rsidRPr="00C855CA">
        <w:rPr>
          <w:rFonts w:ascii="Times New Roman" w:eastAsia="Times New Roman" w:hAnsi="Times New Roman" w:cs="Times New Roman"/>
          <w:i/>
          <w:iCs/>
          <w:color w:val="4C4C4E"/>
          <w:spacing w:val="5"/>
          <w:sz w:val="24"/>
          <w:szCs w:val="24"/>
          <w:lang w:eastAsia="cs-CZ"/>
        </w:rPr>
        <w:t xml:space="preserve"> bude uchazeči </w:t>
      </w:r>
      <w:r w:rsidRPr="00C855CA">
        <w:rPr>
          <w:rFonts w:ascii="Times New Roman" w:eastAsia="Times New Roman" w:hAnsi="Times New Roman" w:cs="Times New Roman"/>
          <w:b/>
          <w:i/>
          <w:iCs/>
          <w:color w:val="4C4C4E"/>
          <w:spacing w:val="5"/>
          <w:sz w:val="24"/>
          <w:szCs w:val="24"/>
          <w:lang w:eastAsia="cs-CZ"/>
        </w:rPr>
        <w:t>předáno v den zápisu</w:t>
      </w:r>
      <w:r w:rsidRPr="00C855CA">
        <w:rPr>
          <w:rFonts w:ascii="Times New Roman" w:eastAsia="Times New Roman" w:hAnsi="Times New Roman" w:cs="Times New Roman"/>
          <w:i/>
          <w:iCs/>
          <w:color w:val="4C4C4E"/>
          <w:spacing w:val="5"/>
          <w:sz w:val="24"/>
          <w:szCs w:val="24"/>
          <w:lang w:eastAsia="cs-CZ"/>
        </w:rPr>
        <w:t xml:space="preserve"> do studia oproti předloženému dokladu o ukončení předchozího vzdělání. Před tímto termínem </w:t>
      </w:r>
      <w:r w:rsidR="00316D81" w:rsidRPr="00C855CA">
        <w:rPr>
          <w:rFonts w:ascii="Times New Roman" w:eastAsia="Times New Roman" w:hAnsi="Times New Roman" w:cs="Times New Roman"/>
          <w:i/>
          <w:iCs/>
          <w:color w:val="4C4C4E"/>
          <w:spacing w:val="5"/>
          <w:sz w:val="24"/>
          <w:szCs w:val="24"/>
          <w:lang w:eastAsia="cs-CZ"/>
        </w:rPr>
        <w:t xml:space="preserve">bude v e-přihlášce zveřejněn dokument </w:t>
      </w:r>
      <w:r w:rsidR="00316D81" w:rsidRPr="00C855CA">
        <w:rPr>
          <w:rFonts w:ascii="Times New Roman" w:eastAsia="Times New Roman" w:hAnsi="Times New Roman" w:cs="Times New Roman"/>
          <w:b/>
          <w:i/>
          <w:iCs/>
          <w:color w:val="4C4C4E"/>
          <w:spacing w:val="5"/>
          <w:sz w:val="24"/>
          <w:szCs w:val="24"/>
          <w:lang w:eastAsia="cs-CZ"/>
        </w:rPr>
        <w:t>O</w:t>
      </w:r>
      <w:r w:rsidRPr="00C855CA">
        <w:rPr>
          <w:rFonts w:ascii="Times New Roman" w:eastAsia="Times New Roman" w:hAnsi="Times New Roman" w:cs="Times New Roman"/>
          <w:b/>
          <w:bCs/>
          <w:i/>
          <w:iCs/>
          <w:color w:val="4C4C4E"/>
          <w:spacing w:val="5"/>
          <w:sz w:val="24"/>
          <w:szCs w:val="24"/>
          <w:lang w:eastAsia="cs-CZ"/>
        </w:rPr>
        <w:t>známení o navržení přijetí ke studiu</w:t>
      </w:r>
      <w:r w:rsidRPr="00C855CA">
        <w:rPr>
          <w:rFonts w:ascii="Times New Roman" w:eastAsia="Times New Roman" w:hAnsi="Times New Roman" w:cs="Times New Roman"/>
          <w:i/>
          <w:iCs/>
          <w:color w:val="4C4C4E"/>
          <w:spacing w:val="5"/>
          <w:sz w:val="24"/>
          <w:szCs w:val="24"/>
          <w:lang w:eastAsia="cs-CZ"/>
        </w:rPr>
        <w:t xml:space="preserve">. 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 </w:t>
      </w:r>
    </w:p>
    <w:p w:rsidR="0089217E" w:rsidRPr="00C855CA" w:rsidRDefault="0089217E" w:rsidP="0089217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b/>
          <w:bCs/>
          <w:i/>
          <w:iCs/>
          <w:color w:val="4C4C4E"/>
          <w:spacing w:val="5"/>
          <w:sz w:val="24"/>
          <w:szCs w:val="24"/>
          <w:lang w:eastAsia="cs-CZ"/>
        </w:rPr>
        <w:t>Písemné rozhodnutí děkana</w:t>
      </w:r>
      <w:r w:rsidRPr="00C855CA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 xml:space="preserve"> o nepřijetí ke studiu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 bude zasláno do 30 dnů od ověření podmínek pro přijetí ke studiu do vlastních rukou uchazeče.</w:t>
      </w:r>
    </w:p>
    <w:p w:rsidR="0089217E" w:rsidRPr="00C855CA" w:rsidRDefault="0089217E" w:rsidP="0089217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Proti rozhodnutí se uchazeč může odvolat ve lhůtě 30 dnů ode dne jeho oznámení.  Odvolání  se podává děkan</w:t>
      </w:r>
      <w:r w:rsidR="00316D81"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ce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 fakulty. Všichni uchazeči, kteří si podají odvolání ve věci nepřijetí ke studiu, budou v zákonné lhůtě o výsledku informováni písemně.</w:t>
      </w:r>
    </w:p>
    <w:p w:rsidR="0089217E" w:rsidRPr="00C855CA" w:rsidRDefault="0089217E" w:rsidP="0089217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Ubytování v průběhu přijímacích zkoušek fakulta nezajišťuje.</w:t>
      </w:r>
    </w:p>
    <w:p w:rsidR="0089217E" w:rsidRPr="00C855CA" w:rsidRDefault="0089217E" w:rsidP="0089217E">
      <w:pPr>
        <w:shd w:val="clear" w:color="auto" w:fill="FFFFFF"/>
        <w:spacing w:before="330" w:after="165" w:line="240" w:lineRule="auto"/>
        <w:outlineLvl w:val="1"/>
        <w:rPr>
          <w:rFonts w:ascii="Times New Roman" w:eastAsia="Times New Roman" w:hAnsi="Times New Roman" w:cs="Times New Roman"/>
          <w:color w:val="4C4C4E"/>
          <w:spacing w:val="5"/>
          <w:sz w:val="39"/>
          <w:szCs w:val="39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39"/>
          <w:szCs w:val="39"/>
          <w:lang w:eastAsia="cs-CZ"/>
        </w:rPr>
        <w:lastRenderedPageBreak/>
        <w:t>Druhé kolo přijímacího řízení</w:t>
      </w:r>
    </w:p>
    <w:p w:rsidR="0089217E" w:rsidRPr="00C855CA" w:rsidRDefault="0089217E" w:rsidP="0089217E">
      <w:pPr>
        <w:shd w:val="clear" w:color="auto" w:fill="FFFFFF"/>
        <w:spacing w:after="165" w:line="240" w:lineRule="auto"/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</w:pP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V případě, že nebude naplněna kapacita některých </w:t>
      </w:r>
      <w:r w:rsidR="00316D81"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programů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, může děkan</w:t>
      </w:r>
      <w:r w:rsidR="00316D81"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ka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 fakulty vyhlásit pro tyto obory druhé kolo přijímacího řízení. Případné informace o něm budou zveřejněny na těchto stránkách nejpozději </w:t>
      </w:r>
      <w:r w:rsidRPr="00C855CA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>do 2</w:t>
      </w:r>
      <w:r w:rsidR="00316D81" w:rsidRPr="00C855CA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>6</w:t>
      </w:r>
      <w:r w:rsidRPr="00C855CA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>. 4. 201</w:t>
      </w:r>
      <w:r w:rsidR="00316D81" w:rsidRPr="00C855CA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>9</w:t>
      </w:r>
      <w:r w:rsidRPr="00C855CA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>.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 Pokud děkan</w:t>
      </w:r>
      <w:r w:rsidR="00316D81"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>ka</w:t>
      </w:r>
      <w:r w:rsidRPr="00C855CA">
        <w:rPr>
          <w:rFonts w:ascii="Times New Roman" w:eastAsia="Times New Roman" w:hAnsi="Times New Roman" w:cs="Times New Roman"/>
          <w:color w:val="4C4C4E"/>
          <w:spacing w:val="5"/>
          <w:sz w:val="24"/>
          <w:szCs w:val="24"/>
          <w:lang w:eastAsia="cs-CZ"/>
        </w:rPr>
        <w:t xml:space="preserve"> fakulty vyhlásí druhé kolo přijímacího řízení, bude termín pro podání přihlášek do druhého kola přijímacího řízení určen </w:t>
      </w:r>
      <w:r w:rsidRPr="00C855CA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>v souladu s harmonogramem přijímacího řízení – termíny a poplatky</w:t>
      </w:r>
      <w:r w:rsidR="00316D81" w:rsidRPr="00C855CA">
        <w:rPr>
          <w:rFonts w:ascii="Times New Roman" w:eastAsia="Times New Roman" w:hAnsi="Times New Roman" w:cs="Times New Roman"/>
          <w:b/>
          <w:bCs/>
          <w:color w:val="4C4C4E"/>
          <w:spacing w:val="5"/>
          <w:sz w:val="24"/>
          <w:szCs w:val="24"/>
          <w:lang w:eastAsia="cs-CZ"/>
        </w:rPr>
        <w:t>.</w:t>
      </w:r>
    </w:p>
    <w:p w:rsidR="00981966" w:rsidRPr="00C855CA" w:rsidRDefault="00981966">
      <w:pPr>
        <w:rPr>
          <w:rFonts w:ascii="Times New Roman" w:hAnsi="Times New Roman" w:cs="Times New Roman"/>
        </w:rPr>
      </w:pPr>
    </w:p>
    <w:sectPr w:rsidR="00981966" w:rsidRPr="00C85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A0E"/>
    <w:multiLevelType w:val="multilevel"/>
    <w:tmpl w:val="02C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36C4B"/>
    <w:multiLevelType w:val="multilevel"/>
    <w:tmpl w:val="79F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E260D"/>
    <w:multiLevelType w:val="multilevel"/>
    <w:tmpl w:val="E99C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E72168"/>
    <w:multiLevelType w:val="multilevel"/>
    <w:tmpl w:val="B270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4724AB"/>
    <w:multiLevelType w:val="multilevel"/>
    <w:tmpl w:val="BA5C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2F29F3"/>
    <w:multiLevelType w:val="multilevel"/>
    <w:tmpl w:val="0854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55655"/>
    <w:multiLevelType w:val="multilevel"/>
    <w:tmpl w:val="90C0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7D761B"/>
    <w:multiLevelType w:val="multilevel"/>
    <w:tmpl w:val="91E6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BA3ACB"/>
    <w:multiLevelType w:val="multilevel"/>
    <w:tmpl w:val="92763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691424"/>
    <w:multiLevelType w:val="multilevel"/>
    <w:tmpl w:val="9D00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365765"/>
    <w:multiLevelType w:val="multilevel"/>
    <w:tmpl w:val="2D8E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0F6A4A"/>
    <w:multiLevelType w:val="multilevel"/>
    <w:tmpl w:val="D640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9B6AC5"/>
    <w:multiLevelType w:val="multilevel"/>
    <w:tmpl w:val="88E6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0950CA"/>
    <w:multiLevelType w:val="multilevel"/>
    <w:tmpl w:val="3A30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BF0BE0"/>
    <w:multiLevelType w:val="multilevel"/>
    <w:tmpl w:val="9DC05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13"/>
  </w:num>
  <w:num w:numId="10">
    <w:abstractNumId w:val="7"/>
  </w:num>
  <w:num w:numId="11">
    <w:abstractNumId w:val="10"/>
  </w:num>
  <w:num w:numId="12">
    <w:abstractNumId w:val="14"/>
  </w:num>
  <w:num w:numId="13">
    <w:abstractNumId w:val="12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7E"/>
    <w:rsid w:val="0000082C"/>
    <w:rsid w:val="00011E06"/>
    <w:rsid w:val="000F3952"/>
    <w:rsid w:val="00177ECF"/>
    <w:rsid w:val="00283F22"/>
    <w:rsid w:val="002963E5"/>
    <w:rsid w:val="00316D81"/>
    <w:rsid w:val="0032077E"/>
    <w:rsid w:val="00330E3F"/>
    <w:rsid w:val="003A4B93"/>
    <w:rsid w:val="004253A4"/>
    <w:rsid w:val="00431DF5"/>
    <w:rsid w:val="004D66B5"/>
    <w:rsid w:val="00522C1B"/>
    <w:rsid w:val="0053211A"/>
    <w:rsid w:val="00660F81"/>
    <w:rsid w:val="006B3B40"/>
    <w:rsid w:val="00716AC7"/>
    <w:rsid w:val="007911DB"/>
    <w:rsid w:val="0082677F"/>
    <w:rsid w:val="00826DEF"/>
    <w:rsid w:val="00841280"/>
    <w:rsid w:val="00891726"/>
    <w:rsid w:val="0089217E"/>
    <w:rsid w:val="008D27DE"/>
    <w:rsid w:val="00903F3B"/>
    <w:rsid w:val="00907090"/>
    <w:rsid w:val="00912018"/>
    <w:rsid w:val="00933F82"/>
    <w:rsid w:val="00941C57"/>
    <w:rsid w:val="0095013F"/>
    <w:rsid w:val="00981966"/>
    <w:rsid w:val="00987B3E"/>
    <w:rsid w:val="00A01BC1"/>
    <w:rsid w:val="00A34BED"/>
    <w:rsid w:val="00B269BA"/>
    <w:rsid w:val="00BA5C75"/>
    <w:rsid w:val="00BC72B1"/>
    <w:rsid w:val="00C56C2B"/>
    <w:rsid w:val="00C855CA"/>
    <w:rsid w:val="00D87AF0"/>
    <w:rsid w:val="00DD0E17"/>
    <w:rsid w:val="00DD2AA4"/>
    <w:rsid w:val="00E038B0"/>
    <w:rsid w:val="00E77AD1"/>
    <w:rsid w:val="00E94830"/>
    <w:rsid w:val="00F025DE"/>
    <w:rsid w:val="00F07579"/>
    <w:rsid w:val="00FE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8DF70-CE17-4329-AE53-1879227C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9217E"/>
    <w:pPr>
      <w:spacing w:before="330" w:after="165" w:line="240" w:lineRule="auto"/>
      <w:outlineLvl w:val="1"/>
    </w:pPr>
    <w:rPr>
      <w:rFonts w:ascii="inherit" w:eastAsia="Times New Roman" w:hAnsi="inherit" w:cs="Times New Roman"/>
      <w:sz w:val="39"/>
      <w:szCs w:val="39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9217E"/>
    <w:pPr>
      <w:spacing w:before="330" w:after="165" w:line="240" w:lineRule="auto"/>
      <w:outlineLvl w:val="2"/>
    </w:pPr>
    <w:rPr>
      <w:rFonts w:ascii="inherit" w:eastAsia="Times New Roman" w:hAnsi="inherit" w:cs="Times New Roman"/>
      <w:sz w:val="33"/>
      <w:szCs w:val="3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9217E"/>
    <w:rPr>
      <w:rFonts w:ascii="inherit" w:eastAsia="Times New Roman" w:hAnsi="inherit" w:cs="Times New Roman"/>
      <w:sz w:val="39"/>
      <w:szCs w:val="39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9217E"/>
    <w:rPr>
      <w:rFonts w:ascii="inherit" w:eastAsia="Times New Roman" w:hAnsi="inherit" w:cs="Times New Roman"/>
      <w:sz w:val="33"/>
      <w:szCs w:val="33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9217E"/>
    <w:rPr>
      <w:strike w:val="0"/>
      <w:dstrike w:val="0"/>
      <w:color w:val="006FAD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unhideWhenUsed/>
    <w:rsid w:val="0089217E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3E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07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14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7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85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06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4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95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5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7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93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58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67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8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0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ory.upol.cz/" TargetMode="External"/><Relationship Id="rId3" Type="http://schemas.openxmlformats.org/officeDocument/2006/relationships/styles" Target="styles.xml"/><Relationship Id="rId7" Type="http://schemas.openxmlformats.org/officeDocument/2006/relationships/hyperlink" Target="https://owa.upol.cz/owa/redir.aspx?C=NDJcHbedirs5-UK5_m4mYFOm1HJpgbSkkmH-09z3Fue-kPZG_BLWCA..&amp;URL=mailto%3aeva.svecova01%40upo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ihlaska.upol.c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12F88-6ECF-412A-813D-A29CABAC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Já</cp:lastModifiedBy>
  <cp:revision>2</cp:revision>
  <cp:lastPrinted>2018-09-10T08:55:00Z</cp:lastPrinted>
  <dcterms:created xsi:type="dcterms:W3CDTF">2018-09-11T11:15:00Z</dcterms:created>
  <dcterms:modified xsi:type="dcterms:W3CDTF">2018-09-11T11:15:00Z</dcterms:modified>
</cp:coreProperties>
</file>