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17"/>
      </w:tblGrid>
      <w:tr w:rsidR="00E143F0" w:rsidRPr="00394785" w:rsidTr="0013716E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 studijního programu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BF5DF6" w:rsidRDefault="00BF5DF6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Hudební teorie a pedagogika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doktorský 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prezenční – kombinovaná 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BF5DF6" w:rsidRDefault="00BF5DF6" w:rsidP="0071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PaedDr. Jiří Luska, CSc.</w:t>
            </w:r>
          </w:p>
        </w:tc>
      </w:tr>
      <w:tr w:rsidR="00E143F0" w:rsidRPr="00394785" w:rsidTr="0013716E">
        <w:trPr>
          <w:trHeight w:val="70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E143F0" w:rsidRPr="00394785" w:rsidTr="0013716E">
        <w:trPr>
          <w:trHeight w:val="2108"/>
        </w:trPr>
        <w:tc>
          <w:tcPr>
            <w:tcW w:w="9285" w:type="dxa"/>
            <w:gridSpan w:val="2"/>
            <w:shd w:val="clear" w:color="auto" w:fill="FFFFFF"/>
          </w:tcPr>
          <w:p w:rsidR="00BF5DF6" w:rsidRPr="00BF5DF6" w:rsidRDefault="00BF5DF6" w:rsidP="00BF5D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 xml:space="preserve">Nejobecnějším cílem studia je formovat specializované a vysoce vědecky erudované studenty pro teoretickou, výzkumnou a odbornou činnost v oblasti vědecké reflexe vybraných segmentů české a světové hudební kultury i mechanismů </w:t>
            </w:r>
            <w:proofErr w:type="spellStart"/>
            <w:r w:rsidRPr="00BF5DF6">
              <w:rPr>
                <w:rFonts w:ascii="Times New Roman" w:hAnsi="Times New Roman" w:cs="Times New Roman"/>
              </w:rPr>
              <w:t>enkulturačního</w:t>
            </w:r>
            <w:proofErr w:type="spellEnd"/>
            <w:r w:rsidRPr="00BF5DF6">
              <w:rPr>
                <w:rFonts w:ascii="Times New Roman" w:hAnsi="Times New Roman" w:cs="Times New Roman"/>
              </w:rPr>
              <w:t xml:space="preserve"> procesu </w:t>
            </w:r>
            <w:proofErr w:type="spellStart"/>
            <w:r w:rsidRPr="00BF5DF6">
              <w:rPr>
                <w:rFonts w:ascii="Times New Roman" w:hAnsi="Times New Roman" w:cs="Times New Roman"/>
              </w:rPr>
              <w:t>intergeneračního</w:t>
            </w:r>
            <w:proofErr w:type="spellEnd"/>
            <w:r w:rsidRPr="00BF5DF6">
              <w:rPr>
                <w:rFonts w:ascii="Times New Roman" w:hAnsi="Times New Roman" w:cs="Times New Roman"/>
              </w:rPr>
              <w:t xml:space="preserve"> a </w:t>
            </w:r>
            <w:proofErr w:type="gramStart"/>
            <w:r w:rsidRPr="00BF5DF6">
              <w:rPr>
                <w:rFonts w:ascii="Times New Roman" w:hAnsi="Times New Roman" w:cs="Times New Roman"/>
              </w:rPr>
              <w:t>interkulturního  předávání</w:t>
            </w:r>
            <w:proofErr w:type="gramEnd"/>
            <w:r w:rsidRPr="00BF5DF6">
              <w:rPr>
                <w:rFonts w:ascii="Times New Roman" w:hAnsi="Times New Roman" w:cs="Times New Roman"/>
              </w:rPr>
              <w:t xml:space="preserve"> hudebního kulturního dědictví. </w:t>
            </w:r>
          </w:p>
          <w:p w:rsidR="00BF5DF6" w:rsidRPr="00BF5DF6" w:rsidRDefault="00BF5DF6" w:rsidP="00BF5D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 xml:space="preserve">Zcela prioritním cílem studijního programu je profilovat v průběhu studia vědecké myšlení doktoranda směrem k chápání hudební reality jako složitého celku, jehož teoretické uchopení vyžaduje vysokou míru abstrakce, schopnosti posuzovat sledované jevy jak v jejich dílčích specifických a relativně izolovaných a mnohdy nutně vyabstrahovaných rozměrech, tak i v širokém interdisciplinárním komplementárním pojetí. Cílem studia je vytvořit takové profesionální dovednosti a návyky, které bude absolvent aplikovat ve vědecko-výzkumných, organizačních a publikačních aktivitách v institucích zaměřených na výzkum v oblasti hudební kultury a vzdělávání a na animační aktivity v oblasti hudebního kulturního dědictví v tuzemském i mezinárodním kontextu. 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13716E">
        <w:trPr>
          <w:trHeight w:val="187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Profil absolventa studijního programu</w:t>
            </w:r>
          </w:p>
        </w:tc>
      </w:tr>
      <w:tr w:rsidR="00E143F0" w:rsidRPr="00394785" w:rsidTr="00BF5DF6">
        <w:trPr>
          <w:trHeight w:val="567"/>
        </w:trPr>
        <w:tc>
          <w:tcPr>
            <w:tcW w:w="9285" w:type="dxa"/>
            <w:gridSpan w:val="2"/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F5DF6" w:rsidRPr="00BF5DF6" w:rsidRDefault="00BF5DF6" w:rsidP="00BF5D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 xml:space="preserve">Absolvent doktorského studijního programu Hudební teorie a pedagogika bude schopen samostatné tvůrčí odborné a vědecké práce. K této činnosti bude vybaven širokým vědomostním rozsahem v oboru hudební teorie a hudební pedagogika a širším okruhu příbuzných vědeckých disciplín, aby mohl dostatečně erudovaně docházet k zobecňujícím závěrům v oblasti zkoumání hudebně teoretických a hudebně pedagogických jevů. Tuto kompetenci prokáže zejména napsáním vědecké doktorské disertační práce, která přináší nově vědecké poznatky v rámci oboru. </w:t>
            </w:r>
          </w:p>
          <w:p w:rsidR="00BF5DF6" w:rsidRPr="00BF5DF6" w:rsidRDefault="00BF5DF6" w:rsidP="00BF5DF6">
            <w:pPr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Absolvent doktorského studijního programu Hudební teorie a pedagogika bude disponovat následujícími kompetencemi:</w:t>
            </w:r>
          </w:p>
          <w:p w:rsidR="00BF5DF6" w:rsidRPr="00BF5DF6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přistupovat ke zpracování tématu své disertační práce systémově a interdisciplinárně,</w:t>
            </w:r>
          </w:p>
          <w:p w:rsidR="00BF5DF6" w:rsidRPr="00BF5DF6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v širším kontextu společenské reality prezentovat, kriticky reflektovat a interpretovat aktuální trendy v hudební teorii, hudební pedagogice a příbuzných muzikologických disciplínách u nás i v zahraničí, a to zejména ve vztahu ke své odborné profilaci,</w:t>
            </w:r>
          </w:p>
          <w:p w:rsidR="00BF5DF6" w:rsidRPr="00BF5DF6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v kontextu vývoje příbuzných vědeckých disciplín a ve vztahu ke své odborné profilaci interpretovat, argumentovat a aplikovat soudobé vědecké poznatky,</w:t>
            </w:r>
          </w:p>
          <w:p w:rsidR="00BF5DF6" w:rsidRPr="00BF5DF6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 xml:space="preserve">samostatně koncipovat, realizovat a prezentovat vědecké výzkumy v oblasti výzkumu hudební kultury při zachování etických zásad vědecké práce, </w:t>
            </w:r>
          </w:p>
          <w:p w:rsidR="00BF5DF6" w:rsidRPr="00BF5DF6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prezentovat, argumentovat a obhajovat výsledky své vlastní vědecko-výzkumné činnosti a konfrontovat jejich závěry s výstupy vědecké práce českých i zahraničních badatelů, prostřednictvím publikační činnosti v recenzovaných a impaktovaných vědeckých periodikách domácích a zahraničních,</w:t>
            </w:r>
          </w:p>
          <w:p w:rsidR="00BF5DF6" w:rsidRPr="00BF5DF6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podílet se na vědecko-výzkumné projektové a grantové činnosti uskutečňované v rámci kooperujících vědeckých týmů,</w:t>
            </w:r>
          </w:p>
          <w:p w:rsidR="00BF5DF6" w:rsidRPr="00BF5DF6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komunikovat na téma své odbornosti  ve dvou světových jazycích na úrovni C1, ve druhém cizím jazyce na úrovni min. B1,</w:t>
            </w:r>
          </w:p>
          <w:p w:rsidR="00BF5DF6" w:rsidRPr="00BF5DF6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implementovat problematiku své odbornosti do vysokoškolské výuky,</w:t>
            </w:r>
          </w:p>
          <w:p w:rsidR="00BF5DF6" w:rsidRPr="00BF5DF6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publikovat v recenzovaných odborných médiích oboru a přednášet na oborových konferencích,</w:t>
            </w:r>
          </w:p>
          <w:p w:rsidR="00BF5DF6" w:rsidRPr="00BF5DF6" w:rsidRDefault="00BF5DF6" w:rsidP="00BF5D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připravit a realizovat oborové vědecké a vzdělávací projekty,</w:t>
            </w:r>
          </w:p>
          <w:p w:rsidR="00E143F0" w:rsidRPr="00394785" w:rsidRDefault="00BF5DF6" w:rsidP="00BF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F5DF6">
              <w:rPr>
                <w:rFonts w:ascii="Times New Roman" w:hAnsi="Times New Roman" w:cs="Times New Roman"/>
              </w:rPr>
              <w:lastRenderedPageBreak/>
              <w:t>koncipovat mezinárodní vědecké grantové projekty.</w:t>
            </w:r>
          </w:p>
        </w:tc>
      </w:tr>
      <w:tr w:rsidR="00E143F0" w:rsidRPr="00394785" w:rsidTr="0013716E">
        <w:trPr>
          <w:trHeight w:val="258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 xml:space="preserve"> Podmínky k přijetí ke studiu</w:t>
            </w:r>
          </w:p>
        </w:tc>
      </w:tr>
      <w:tr w:rsidR="00E143F0" w:rsidRPr="00394785" w:rsidTr="0013716E">
        <w:trPr>
          <w:trHeight w:val="1327"/>
        </w:trPr>
        <w:tc>
          <w:tcPr>
            <w:tcW w:w="9285" w:type="dxa"/>
            <w:gridSpan w:val="2"/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BF5DF6" w:rsidRPr="00C263D4" w:rsidRDefault="00BF5DF6" w:rsidP="00BF5DF6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cs-CZ"/>
              </w:rPr>
            </w:pPr>
            <w:r w:rsidRPr="00C263D4">
              <w:rPr>
                <w:rFonts w:ascii="Times New Roman" w:eastAsia="Times New Roman" w:hAnsi="Times New Roman" w:cs="Times New Roman"/>
                <w:lang w:eastAsia="cs-CZ"/>
              </w:rPr>
              <w:t xml:space="preserve">Ke studiu DSP Hudební teorie a pedagogika budou přijímáni uchazeči, kteří splňují zákonnou podmínku absolutoria předchozího stupně studia magisterských či magisterských navazujících studijních programů zaměřených na oblast hudební edukace. Dále také absolventi studijních </w:t>
            </w:r>
            <w:proofErr w:type="gramStart"/>
            <w:r w:rsidRPr="00C263D4">
              <w:rPr>
                <w:rFonts w:ascii="Times New Roman" w:eastAsia="Times New Roman" w:hAnsi="Times New Roman" w:cs="Times New Roman"/>
                <w:lang w:eastAsia="cs-CZ"/>
              </w:rPr>
              <w:t>programů  muzikologie</w:t>
            </w:r>
            <w:proofErr w:type="gramEnd"/>
            <w:r w:rsidRPr="00C263D4">
              <w:rPr>
                <w:rFonts w:ascii="Times New Roman" w:eastAsia="Times New Roman" w:hAnsi="Times New Roman" w:cs="Times New Roman"/>
                <w:lang w:eastAsia="cs-CZ"/>
              </w:rPr>
              <w:t xml:space="preserve"> či hudební umění, pokud absolvovali akreditovaný modul pedagogické propedeutiky. </w:t>
            </w:r>
          </w:p>
          <w:p w:rsidR="00BF5DF6" w:rsidRPr="00C263D4" w:rsidRDefault="00BF5DF6" w:rsidP="00BF5DF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C263D4">
              <w:rPr>
                <w:rFonts w:ascii="Times New Roman" w:eastAsia="Times New Roman" w:hAnsi="Times New Roman" w:cs="Times New Roman"/>
                <w:lang w:eastAsia="cs-CZ"/>
              </w:rPr>
              <w:t>Další podmínkou je úspěšné vykonání přijímací zkoušky, při níž prokáží p</w:t>
            </w:r>
            <w:r w:rsidRPr="00C263D4">
              <w:rPr>
                <w:rFonts w:ascii="Times New Roman" w:hAnsi="Times New Roman" w:cs="Times New Roman"/>
              </w:rPr>
              <w:t>ředpoklady pro vědeckou práci v oboru a nezbytné jazykové kompetence.</w:t>
            </w:r>
          </w:p>
          <w:p w:rsidR="00BF5DF6" w:rsidRPr="00C263D4" w:rsidRDefault="00BF5DF6" w:rsidP="00BF5DF6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63D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Požadavky přijímací zkoušky:</w:t>
            </w:r>
          </w:p>
          <w:p w:rsidR="00BF5DF6" w:rsidRPr="00C263D4" w:rsidRDefault="00BF5DF6" w:rsidP="00BF5DF6">
            <w:pPr>
              <w:pStyle w:val="Zkladntext"/>
              <w:widowControl/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2"/>
              </w:rPr>
            </w:pPr>
            <w:r w:rsidRPr="00C263D4">
              <w:rPr>
                <w:b w:val="0"/>
                <w:sz w:val="22"/>
              </w:rPr>
              <w:t>předložit soupis publikovaných i nepublikovaných studií, odborných článků, aktivních vystoupení na vědeckých seminářích a konferencích,</w:t>
            </w:r>
          </w:p>
          <w:p w:rsidR="00BF5DF6" w:rsidRPr="00C263D4" w:rsidRDefault="00BF5DF6" w:rsidP="00BF5DF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3D4">
              <w:rPr>
                <w:rFonts w:ascii="Times New Roman" w:hAnsi="Times New Roman" w:cs="Times New Roman"/>
              </w:rPr>
              <w:t>prezentovat písemný návrh názvu, struktury, cílů a metod zamýšlené práce,</w:t>
            </w:r>
          </w:p>
          <w:p w:rsidR="00BF5DF6" w:rsidRPr="00C263D4" w:rsidRDefault="00BF5DF6" w:rsidP="00BF5DF6">
            <w:pPr>
              <w:pStyle w:val="Zkladntext"/>
              <w:widowControl/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2"/>
              </w:rPr>
            </w:pPr>
            <w:r w:rsidRPr="00C263D4">
              <w:rPr>
                <w:b w:val="0"/>
                <w:sz w:val="22"/>
              </w:rPr>
              <w:t>předložit soupis prostudované odborné a vědecké oborově zaměřené literatury,</w:t>
            </w:r>
          </w:p>
          <w:p w:rsidR="00BF5DF6" w:rsidRPr="00C263D4" w:rsidRDefault="00BF5DF6" w:rsidP="00BF5DF6">
            <w:pPr>
              <w:pStyle w:val="Zkladntext"/>
              <w:widowControl/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2"/>
              </w:rPr>
            </w:pPr>
            <w:r w:rsidRPr="00C263D4">
              <w:rPr>
                <w:b w:val="0"/>
                <w:sz w:val="22"/>
              </w:rPr>
              <w:t xml:space="preserve">prezentovat ucelený základní přehled o oboru hudební teorie a pedagogika, </w:t>
            </w:r>
          </w:p>
          <w:p w:rsidR="00BF5DF6" w:rsidRPr="00C263D4" w:rsidRDefault="00BF5DF6" w:rsidP="00BF5DF6">
            <w:pPr>
              <w:pStyle w:val="Zkladntext"/>
              <w:widowControl/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2"/>
              </w:rPr>
            </w:pPr>
            <w:r w:rsidRPr="00C263D4">
              <w:rPr>
                <w:b w:val="0"/>
                <w:sz w:val="22"/>
              </w:rPr>
              <w:t>blíže specifikovat okruh osobního odborného zájmu z vytipované hudebně pedagogické disciplíny, definovat stručně projekt zamýšlené disertační práce podle osnovy,</w:t>
            </w:r>
          </w:p>
          <w:p w:rsidR="00BF5DF6" w:rsidRPr="00C263D4" w:rsidRDefault="00BF5DF6" w:rsidP="00BF5DF6">
            <w:pPr>
              <w:pStyle w:val="Zkladntext"/>
              <w:widowControl/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2"/>
              </w:rPr>
            </w:pPr>
            <w:r w:rsidRPr="00C263D4">
              <w:rPr>
                <w:b w:val="0"/>
                <w:sz w:val="22"/>
              </w:rPr>
              <w:t>specifikace studijního zaměření na konkrétní vědeckou problematiku uchazeče,</w:t>
            </w:r>
          </w:p>
          <w:p w:rsidR="00BF5DF6" w:rsidRPr="00C263D4" w:rsidRDefault="00BF5DF6" w:rsidP="00BF5DF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63D4">
              <w:rPr>
                <w:rFonts w:ascii="Times New Roman" w:hAnsi="Times New Roman" w:cs="Times New Roman"/>
              </w:rPr>
              <w:t>přehled dosavadního zpracování vytipované problematiky (tj. zvláště přehled o stavu pramenů a o literatuře ke zkoumání dané problematiky),</w:t>
            </w:r>
          </w:p>
          <w:p w:rsidR="00E143F0" w:rsidRPr="00394785" w:rsidRDefault="00BF5DF6" w:rsidP="00BF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263D4">
              <w:rPr>
                <w:rFonts w:ascii="Times New Roman" w:hAnsi="Times New Roman" w:cs="Times New Roman"/>
              </w:rPr>
              <w:t>prokázat porozumění obsahu cizojazyčného odborného textu v anglickém nebo německém jazyce</w:t>
            </w:r>
          </w:p>
        </w:tc>
      </w:tr>
    </w:tbl>
    <w:p w:rsidR="002B2A96" w:rsidRDefault="002B2A96"/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1276"/>
        <w:gridCol w:w="1843"/>
        <w:gridCol w:w="1417"/>
        <w:gridCol w:w="1239"/>
        <w:gridCol w:w="37"/>
      </w:tblGrid>
      <w:tr w:rsidR="00E143F0" w:rsidRPr="00394785" w:rsidTr="00BF5DF6">
        <w:trPr>
          <w:gridAfter w:val="1"/>
          <w:wAfter w:w="37" w:type="dxa"/>
        </w:trPr>
        <w:tc>
          <w:tcPr>
            <w:tcW w:w="9285" w:type="dxa"/>
            <w:gridSpan w:val="5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B32E24" w:rsidP="00E1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BF5DF6" w:rsidTr="00BF5DF6">
        <w:trPr>
          <w:trHeight w:val="283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5DF6" w:rsidRPr="00BF5DF6" w:rsidRDefault="00BF5DF6" w:rsidP="00BF5D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b/>
                <w:lang w:eastAsia="cs-CZ"/>
              </w:rPr>
              <w:t>Hudební teorie a pedagogika</w:t>
            </w:r>
          </w:p>
        </w:tc>
      </w:tr>
      <w:tr w:rsidR="00BF5DF6" w:rsidTr="00BF5DF6">
        <w:trPr>
          <w:trHeight w:val="28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b/>
                <w:lang w:eastAsia="cs-CZ"/>
              </w:rPr>
              <w:t>Povinné předměty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Garant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hAnsi="Times New Roman" w:cs="Times New Roman"/>
              </w:rPr>
              <w:t>Způsob ověření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Počet kreditů</w:t>
            </w:r>
          </w:p>
        </w:tc>
      </w:tr>
      <w:tr w:rsidR="00BF5DF6" w:rsidTr="00BF5DF6">
        <w:trPr>
          <w:trHeight w:val="256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Hudební pedagogika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prof. Luska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56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Filozofie edukace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doc. Chudý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56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 xml:space="preserve">Metodologie vědecké práce v oblasti muzikologických disciplín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 xml:space="preserve">prof. Zouhar, </w:t>
            </w:r>
          </w:p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prof. Luska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56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Cizí jazyk 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KCJ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56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Cizí jazyk II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dr. Krejčí, AJ</w:t>
            </w:r>
          </w:p>
          <w:p w:rsidR="00BF5DF6" w:rsidRPr="00BF5DF6" w:rsidRDefault="00BF5DF6" w:rsidP="00720A39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dr.Coufalová</w:t>
            </w:r>
            <w:proofErr w:type="spellEnd"/>
            <w:proofErr w:type="gramEnd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 xml:space="preserve">, NJ </w:t>
            </w: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dr.Pulchertová</w:t>
            </w:r>
            <w:proofErr w:type="spellEnd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, RJ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8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b/>
                <w:lang w:eastAsia="cs-CZ"/>
              </w:rPr>
              <w:t>Povinně volitelné předměty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5DF6" w:rsidTr="00BF5DF6">
        <w:trPr>
          <w:trHeight w:val="28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Hudební teorie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prof. Zouhar</w:t>
            </w:r>
          </w:p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prof. Planý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8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Hudební historiografie 20. století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prof. Zouhar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8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Regionální organologie v kontextu doby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prof. Planý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8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Kompletní analýza skladeb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prof. Zouhar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8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Hudební psychologie v edukaci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prof. Luska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8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Interpretační aspekty sborové tvorby 20. století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doc. Režný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8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Varhanní kultura v českých zemích v kontextu evropské hudebně interpretační tradice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prof. Planý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8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 xml:space="preserve">Teorie a dějiny </w:t>
            </w:r>
            <w:proofErr w:type="spellStart"/>
            <w:r w:rsidRPr="00BF5DF6">
              <w:rPr>
                <w:rFonts w:ascii="Times New Roman" w:hAnsi="Times New Roman" w:cs="Times New Roman"/>
              </w:rPr>
              <w:t>nonartificiální</w:t>
            </w:r>
            <w:proofErr w:type="spellEnd"/>
            <w:r w:rsidRPr="00BF5DF6">
              <w:rPr>
                <w:rFonts w:ascii="Times New Roman" w:hAnsi="Times New Roman" w:cs="Times New Roman"/>
              </w:rPr>
              <w:t xml:space="preserve"> hudby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prof. Luska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8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Psychologie kreativity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doc. Plevová,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8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5DF6">
              <w:rPr>
                <w:rFonts w:ascii="Times New Roman" w:hAnsi="Times New Roman" w:cs="Times New Roman"/>
              </w:rPr>
              <w:t>Teorie a dějiny sborového pěveckého umění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doc. Režný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8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F5DF6">
              <w:rPr>
                <w:rFonts w:ascii="Times New Roman" w:hAnsi="Times New Roman" w:cs="Times New Roman"/>
              </w:rPr>
              <w:t>Matematická analýza empirických dat v oblasti výzkumu hudební kultury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doc. Zdráhal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BF5DF6">
        <w:trPr>
          <w:trHeight w:val="283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F6" w:rsidRPr="00BF5DF6" w:rsidRDefault="00BF5DF6" w:rsidP="00720A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5DF6">
              <w:rPr>
                <w:rStyle w:val="Zdraznnintenzivn1"/>
                <w:rFonts w:cs="Times New Roman"/>
                <w:sz w:val="22"/>
              </w:rPr>
              <w:t>Teorie a metodologie výzkumu v pedagogických a sociálních vědách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 xml:space="preserve">doc. </w:t>
            </w: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Chráska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Zk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Pr="00BF5DF6" w:rsidRDefault="00BF5DF6" w:rsidP="00720A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BF5DF6" w:rsidTr="00C263D4">
        <w:trPr>
          <w:trHeight w:val="60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F6" w:rsidRDefault="00BF5DF6" w:rsidP="00BF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Student absolvuje během studia všechny povinné předměty a z nabídky povinně volitelných předmětů si vybere další tři předměty, které nejblíže korespondují se zaměřením jeho disertační práce. Celkem složí během studia osm dílčích zkoušek.</w:t>
            </w:r>
          </w:p>
          <w:p w:rsidR="00C263D4" w:rsidRPr="00C263D4" w:rsidRDefault="00C263D4" w:rsidP="00BF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C263D4" w:rsidRPr="00C263D4" w:rsidRDefault="00C263D4" w:rsidP="00BF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263D4">
              <w:rPr>
                <w:rFonts w:ascii="Times New Roman" w:hAnsi="Times New Roman" w:cs="Times New Roman"/>
                <w:b/>
              </w:rPr>
              <w:t>Požadavky ke státní doktorské zkoušce</w:t>
            </w:r>
          </w:p>
          <w:p w:rsidR="00C263D4" w:rsidRPr="00C263D4" w:rsidRDefault="00C263D4" w:rsidP="00C263D4">
            <w:pPr>
              <w:pStyle w:val="Zkladntext2"/>
              <w:spacing w:after="0" w:line="240" w:lineRule="auto"/>
            </w:pPr>
            <w:r w:rsidRPr="00C263D4">
              <w:t>U státní doktorské zkoušky v oboru Hudební teorie a pedagogika doktorand prokáže před zkušební komisí hlubokou znalost problematiky oboru hudební teorie a pedagogika v jeho interdisciplinárních souvislostech, a to formou ústních odpovědí na položené otázky.</w:t>
            </w:r>
          </w:p>
          <w:p w:rsidR="00C263D4" w:rsidRPr="00C263D4" w:rsidRDefault="00C263D4" w:rsidP="00C263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63D4">
              <w:rPr>
                <w:rFonts w:ascii="Times New Roman" w:hAnsi="Times New Roman" w:cs="Times New Roman"/>
              </w:rPr>
              <w:t>V kooperaci se školitelem a členy oborové rady jsou kandidátovi zadány tři otázky ze zkušebních okruhů, které tvoří hlavní oborový vědecký a výzkumný prostor i příbuzná interdisciplinární vědecká teritoria pěstovaná na školitelském pracovišti. Otázky mohou být obsahově spřízněny s tématikou disertační práce. Při zkoušce doktorand také odpovídá na doplňující dotazy členů zkušební komise, které vyplynou z vědecké rozpravy při státní doktorské zkoušce.</w:t>
            </w:r>
          </w:p>
          <w:p w:rsidR="00C263D4" w:rsidRPr="00C263D4" w:rsidRDefault="00C263D4" w:rsidP="00C263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63D4">
              <w:rPr>
                <w:rFonts w:ascii="Times New Roman" w:hAnsi="Times New Roman" w:cs="Times New Roman"/>
                <w:b/>
              </w:rPr>
              <w:t>Zkušební okruhy pro státní doktorskou zkoušku</w:t>
            </w:r>
            <w:r w:rsidRPr="00C263D4">
              <w:rPr>
                <w:rFonts w:ascii="Times New Roman" w:hAnsi="Times New Roman" w:cs="Times New Roman"/>
                <w:b/>
              </w:rPr>
              <w:t>:</w:t>
            </w:r>
          </w:p>
          <w:p w:rsidR="00C263D4" w:rsidRPr="00C263D4" w:rsidRDefault="00C263D4" w:rsidP="00C263D4">
            <w:pPr>
              <w:pStyle w:val="Zkladntext2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C263D4">
              <w:t>Metodologické aspekty interdisciplinárního výzkumu v oblasti muzikologických, pedagogických a psychologických věd.</w:t>
            </w:r>
          </w:p>
          <w:p w:rsidR="00C263D4" w:rsidRPr="00C263D4" w:rsidRDefault="00C263D4" w:rsidP="00C263D4">
            <w:pPr>
              <w:pStyle w:val="Zkladntext2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C263D4">
              <w:t>Komparační strategie výzkumu současných a historických hudebně edukačních koncepcí a pojetí.</w:t>
            </w:r>
          </w:p>
          <w:p w:rsidR="00C263D4" w:rsidRPr="00C263D4" w:rsidRDefault="00C263D4" w:rsidP="00C263D4">
            <w:pPr>
              <w:pStyle w:val="Zkladntext2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C263D4">
              <w:t>Vnímání a kognitivní zpracování hudby jako výzkumný problém.</w:t>
            </w:r>
          </w:p>
          <w:p w:rsidR="00C263D4" w:rsidRPr="00C263D4" w:rsidRDefault="00C263D4" w:rsidP="00C263D4">
            <w:pPr>
              <w:pStyle w:val="Zkladntext2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C263D4">
              <w:t>Kognitivní přístupy při výzkumu ontogeneze hudebnosti</w:t>
            </w:r>
          </w:p>
          <w:p w:rsidR="00C263D4" w:rsidRPr="00C263D4" w:rsidRDefault="00C263D4" w:rsidP="00C263D4">
            <w:pPr>
              <w:pStyle w:val="Zkladntext2"/>
              <w:numPr>
                <w:ilvl w:val="0"/>
                <w:numId w:val="16"/>
              </w:numPr>
              <w:spacing w:after="0" w:line="240" w:lineRule="auto"/>
              <w:jc w:val="both"/>
            </w:pPr>
            <w:proofErr w:type="spellStart"/>
            <w:r w:rsidRPr="00C263D4">
              <w:t>Pedagogicko</w:t>
            </w:r>
            <w:proofErr w:type="spellEnd"/>
            <w:r w:rsidRPr="00C263D4">
              <w:t xml:space="preserve"> - psychologická diagnostika hudebnosti.</w:t>
            </w:r>
          </w:p>
          <w:p w:rsidR="00C263D4" w:rsidRPr="00C263D4" w:rsidRDefault="00C263D4" w:rsidP="00C263D4">
            <w:pPr>
              <w:pStyle w:val="Zkladntext2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C263D4">
              <w:t>Muzikoterapeutické aspekty hudební edukace.</w:t>
            </w:r>
          </w:p>
          <w:p w:rsidR="00C263D4" w:rsidRPr="00C263D4" w:rsidRDefault="00C263D4" w:rsidP="00C263D4">
            <w:pPr>
              <w:pStyle w:val="Zkladntext2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C263D4">
              <w:t>Hudební postoje a preference v synchronním a asynchronním kontextu.</w:t>
            </w:r>
          </w:p>
          <w:p w:rsidR="00C263D4" w:rsidRPr="00C263D4" w:rsidRDefault="00C263D4" w:rsidP="00C263D4">
            <w:pPr>
              <w:pStyle w:val="Zkladntext2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C263D4">
              <w:t>Specifika hudební interpretace, produkce a recepce v rámci hudebně edukačním.</w:t>
            </w:r>
          </w:p>
          <w:p w:rsidR="00C263D4" w:rsidRPr="00C263D4" w:rsidRDefault="00C263D4" w:rsidP="00C263D4">
            <w:pPr>
              <w:pStyle w:val="Zkladntext2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C263D4">
              <w:t>Elementární komponování v hudební edukaci.</w:t>
            </w:r>
          </w:p>
          <w:p w:rsidR="00C263D4" w:rsidRPr="00C263D4" w:rsidRDefault="00C263D4" w:rsidP="00C263D4">
            <w:pPr>
              <w:pStyle w:val="Zkladntext2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C263D4">
              <w:t>Čeští skladatelé 20. století (B. Martinů, L. Janáček).</w:t>
            </w:r>
          </w:p>
          <w:p w:rsidR="00C263D4" w:rsidRPr="00C263D4" w:rsidRDefault="00C263D4" w:rsidP="00C263D4">
            <w:pPr>
              <w:pStyle w:val="Zkladntext2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C263D4">
              <w:t>Hudební historiografie se zaměřením na oblast Moravy.</w:t>
            </w:r>
          </w:p>
          <w:p w:rsidR="00C263D4" w:rsidRPr="00C263D4" w:rsidRDefault="00C263D4" w:rsidP="00C263D4">
            <w:pPr>
              <w:pStyle w:val="Zkladntext2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C263D4">
              <w:t xml:space="preserve">Teorie a historiografie </w:t>
            </w:r>
            <w:proofErr w:type="spellStart"/>
            <w:r w:rsidRPr="00C263D4">
              <w:t>nonartificiální</w:t>
            </w:r>
            <w:proofErr w:type="spellEnd"/>
            <w:r w:rsidRPr="00C263D4">
              <w:t xml:space="preserve"> hudby v kontextu hudební edukace.</w:t>
            </w:r>
          </w:p>
          <w:p w:rsidR="00C263D4" w:rsidRPr="00C263D4" w:rsidRDefault="00C263D4" w:rsidP="00C263D4">
            <w:pPr>
              <w:pStyle w:val="Zkladntext2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C263D4">
              <w:t>Informační technologie aplikované v hudebně edukačním kontextu.</w:t>
            </w:r>
          </w:p>
          <w:p w:rsidR="00C263D4" w:rsidRPr="00C263D4" w:rsidRDefault="00C263D4" w:rsidP="00C263D4">
            <w:pPr>
              <w:pStyle w:val="Odstavecseseznamem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263D4">
              <w:rPr>
                <w:rFonts w:ascii="Times New Roman" w:hAnsi="Times New Roman" w:cs="Times New Roman"/>
              </w:rPr>
              <w:t xml:space="preserve">Hudebně teoretické a hudebně psychologické souvislosti v procesu hudební </w:t>
            </w:r>
            <w:proofErr w:type="spellStart"/>
            <w:r w:rsidRPr="00C263D4">
              <w:rPr>
                <w:rFonts w:ascii="Times New Roman" w:hAnsi="Times New Roman" w:cs="Times New Roman"/>
              </w:rPr>
              <w:t>enkulturace</w:t>
            </w:r>
            <w:proofErr w:type="spellEnd"/>
            <w:r w:rsidRPr="00C263D4">
              <w:rPr>
                <w:rFonts w:ascii="Times New Roman" w:hAnsi="Times New Roman" w:cs="Times New Roman"/>
              </w:rPr>
              <w:t>.</w:t>
            </w:r>
          </w:p>
          <w:p w:rsidR="00C263D4" w:rsidRPr="00BF5DF6" w:rsidRDefault="00C263D4" w:rsidP="00BF5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1531D" w:rsidRPr="00394785" w:rsidTr="00BF5DF6">
        <w:trPr>
          <w:gridAfter w:val="1"/>
          <w:wAfter w:w="37" w:type="dxa"/>
        </w:trPr>
        <w:tc>
          <w:tcPr>
            <w:tcW w:w="3510" w:type="dxa"/>
            <w:shd w:val="clear" w:color="auto" w:fill="F7CAAC"/>
          </w:tcPr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Požadavky na tvůrčí činnost</w:t>
            </w:r>
          </w:p>
        </w:tc>
        <w:tc>
          <w:tcPr>
            <w:tcW w:w="5775" w:type="dxa"/>
            <w:gridSpan w:val="4"/>
            <w:tcBorders>
              <w:bottom w:val="nil"/>
            </w:tcBorders>
          </w:tcPr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531D" w:rsidRPr="00394785" w:rsidTr="00BF5DF6">
        <w:trPr>
          <w:gridAfter w:val="1"/>
          <w:wAfter w:w="37" w:type="dxa"/>
          <w:trHeight w:val="2165"/>
        </w:trPr>
        <w:tc>
          <w:tcPr>
            <w:tcW w:w="9285" w:type="dxa"/>
            <w:gridSpan w:val="5"/>
            <w:tcBorders>
              <w:top w:val="nil"/>
            </w:tcBorders>
          </w:tcPr>
          <w:p w:rsidR="0071531D" w:rsidRPr="00BF5DF6" w:rsidRDefault="00BF5DF6" w:rsidP="00720A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Vedle studijních povinností student uskutečňuje aktivity v oblasti vědecké, publikační a tvůrčí činnosti. V oblasti publikační je povinen zveřejnit minimálně tři odborné studie, tři recenze a aktivně se zúčastnit minimálně dvou konferencí. Stu</w:t>
            </w:r>
            <w:bookmarkStart w:id="0" w:name="_GoBack"/>
            <w:bookmarkEnd w:id="0"/>
            <w:r w:rsidRPr="00BF5DF6">
              <w:rPr>
                <w:rFonts w:ascii="Times New Roman" w:eastAsia="Times New Roman" w:hAnsi="Times New Roman" w:cs="Times New Roman"/>
                <w:lang w:eastAsia="cs-CZ"/>
              </w:rPr>
              <w:t>dent se může také zapojit do výzkumného projektu, jako je GAČR, IGA apod. Ekvivalentem odborné studie je vydání CD nebo DVD. To koresponduje s oblastí umělecké tvůrčí činnosti, v níž se může realizovat formou uměleckých vystoupení, jejich záznamů na nosičích, uměleckých projektů a dalších aktivit ohodnocených podle celostátně platné metodiky Registru uměleckých výstupů.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2"/>
              <w:gridCol w:w="4110"/>
            </w:tblGrid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Druh výsledku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Kredity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Odborná kniha (druh výsledku B-dle platné metodiky)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30 (přísl. podíl spoluautorství) 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Kapitola v odborné knize (druh výsledku C – dle platné metodiky)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(přísl. podíl spoluautorství)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Článek v odborném periodiku (druh výsledku J, tj.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imp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sc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neimp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., </w:t>
                  </w:r>
                  <w:proofErr w:type="spellStart"/>
                  <w:proofErr w:type="gram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rec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. </w:t>
                  </w: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dle</w:t>
                  </w:r>
                  <w:proofErr w:type="gram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platné metodiky)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(přísl. podíl spoluautorství)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Článek publikovaný ve sborníku evidovaném v databázi SCOPUS či indexován v databázi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Conference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Proceedings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Citation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Index (dle platné metodiky)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Článek recenzovaný v českém jazyku v časopise ze seznamu recenzovaných neimpaktovaných časopisů)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Článek recenzovaná v cizím jazyku v časopise ze seznamu recenzovaných neimpaktovaných časopisů)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Článek recenzovaný mimo seznam započitatelných výsledků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Recenze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 každou citaci vlastní práce jiným autorem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(v zahraničí 4)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Aktivní účast na vědecké konferenci s celonárodní účastí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Aktivní účast na vědecké konferenci s mezinárodní účastí v ČR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Aktivní účast na vědecké konferenci s mezinárodní účastí v zahraničí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Poster na konferenci v ČR 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(přísl. podíl spoluautorství)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Poster na konferenci v zahraničí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(přísl. podíl spoluautorství)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Zapojení do výzkumného projektu v ČR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Zapojení do mezinárodního výzkumného projektu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71531D" w:rsidRPr="00D20EEE" w:rsidRDefault="0071531D" w:rsidP="00720A39">
            <w:pPr>
              <w:pStyle w:val="Odstavecseseznamem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1531D" w:rsidRPr="00D20EEE" w:rsidRDefault="0071531D" w:rsidP="00720A39">
            <w:pPr>
              <w:pStyle w:val="Odstavecseseznamem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Umělecká činnost – segment Hudba a výtvarné umění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2"/>
              <w:gridCol w:w="4110"/>
            </w:tblGrid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A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B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C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71531D" w:rsidRPr="00D20EEE" w:rsidTr="00720A39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D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1531D" w:rsidRPr="00D20EEE" w:rsidRDefault="0071531D" w:rsidP="00720A39">
                  <w:pPr>
                    <w:pStyle w:val="Zpat"/>
                    <w:tabs>
                      <w:tab w:val="left" w:pos="708"/>
                    </w:tabs>
                    <w:spacing w:before="120"/>
                    <w:rPr>
                      <w:sz w:val="20"/>
                      <w:szCs w:val="20"/>
                    </w:rPr>
                  </w:pPr>
                  <w:r w:rsidRPr="00D20EEE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BF5DF6">
        <w:trPr>
          <w:gridAfter w:val="1"/>
          <w:wAfter w:w="37" w:type="dxa"/>
        </w:trPr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Požadavky na absolvování stáží</w:t>
            </w:r>
          </w:p>
        </w:tc>
        <w:tc>
          <w:tcPr>
            <w:tcW w:w="5775" w:type="dxa"/>
            <w:gridSpan w:val="4"/>
            <w:tcBorders>
              <w:bottom w:val="nil"/>
            </w:tcBorders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BF5DF6">
        <w:trPr>
          <w:gridAfter w:val="1"/>
          <w:wAfter w:w="37" w:type="dxa"/>
          <w:trHeight w:val="1873"/>
        </w:trPr>
        <w:tc>
          <w:tcPr>
            <w:tcW w:w="9285" w:type="dxa"/>
            <w:gridSpan w:val="5"/>
            <w:tcBorders>
              <w:top w:val="nil"/>
            </w:tcBorders>
          </w:tcPr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Student má za povinnost během studia absolvovat zahraniční vědecko-výzkumnou stáž v rozsahu minimálně 1 měsíc. </w:t>
            </w: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Stáž slouží k rozšíření odborných znalostí doktoranda a zaměření stáže odpovídá tématu disertační práce. </w:t>
            </w:r>
          </w:p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Výsledky stáže musí student obhájit formou závěrečné zprávy.</w:t>
            </w:r>
          </w:p>
        </w:tc>
      </w:tr>
      <w:tr w:rsidR="00E143F0" w:rsidRPr="00394785" w:rsidTr="00BF5DF6">
        <w:trPr>
          <w:gridAfter w:val="1"/>
          <w:wAfter w:w="37" w:type="dxa"/>
        </w:trPr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studijní povinnosti</w:t>
            </w:r>
          </w:p>
        </w:tc>
        <w:tc>
          <w:tcPr>
            <w:tcW w:w="5775" w:type="dxa"/>
            <w:gridSpan w:val="4"/>
            <w:tcBorders>
              <w:bottom w:val="nil"/>
            </w:tcBorders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BF5DF6">
        <w:trPr>
          <w:gridAfter w:val="1"/>
          <w:wAfter w:w="37" w:type="dxa"/>
          <w:trHeight w:val="1875"/>
        </w:trPr>
        <w:tc>
          <w:tcPr>
            <w:tcW w:w="9285" w:type="dxa"/>
            <w:gridSpan w:val="5"/>
            <w:tcBorders>
              <w:top w:val="nil"/>
            </w:tcBorders>
          </w:tcPr>
          <w:p w:rsidR="00C263D4" w:rsidRPr="00C263D4" w:rsidRDefault="00C263D4" w:rsidP="00C263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263D4">
              <w:rPr>
                <w:rFonts w:ascii="Times New Roman" w:eastAsia="Times New Roman" w:hAnsi="Times New Roman" w:cs="Times New Roman"/>
                <w:lang w:eastAsia="cs-CZ"/>
              </w:rPr>
              <w:t>Student interní formy studia povinně vykonává přímou výukovou činnost v bakalářském nebo magisterském programu uskutečňovaném na mateřském školícím pracovišti v rozsahu pěti výukových hodin týdně.</w:t>
            </w:r>
          </w:p>
          <w:p w:rsidR="00C263D4" w:rsidRPr="00C263D4" w:rsidRDefault="00C263D4" w:rsidP="00C263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263D4">
              <w:rPr>
                <w:rFonts w:ascii="Times New Roman" w:hAnsi="Times New Roman" w:cs="Times New Roman"/>
              </w:rPr>
              <w:t>Student uskutečňuje další studijní aktivity jako administrace výzkumných materiálů, tvorba učebních pomůcek, studijních opor, nebo jako asistent univerzitního pěveckého sboru. Tyto aktivity je možno ohodnotit kredity.</w:t>
            </w:r>
          </w:p>
          <w:p w:rsidR="00C263D4" w:rsidRPr="00C263D4" w:rsidRDefault="00C263D4" w:rsidP="00C263D4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63D4">
              <w:rPr>
                <w:rFonts w:ascii="Times New Roman" w:eastAsia="Times New Roman" w:hAnsi="Times New Roman" w:cs="Times New Roman"/>
                <w:lang w:eastAsia="cs-CZ"/>
              </w:rPr>
              <w:t xml:space="preserve">V průběhu studia student musí složit doktorskou zkoušku a obhájit v rámci doktorské zkoušky teze své disertační práce. </w:t>
            </w:r>
          </w:p>
          <w:p w:rsidR="00E143F0" w:rsidRPr="00394785" w:rsidRDefault="00C263D4" w:rsidP="00C2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263D4">
              <w:rPr>
                <w:rFonts w:ascii="Times New Roman" w:eastAsia="Times New Roman" w:hAnsi="Times New Roman" w:cs="Times New Roman"/>
                <w:lang w:eastAsia="cs-CZ"/>
              </w:rPr>
              <w:t>Klíčovou studijní povinností je zpracování kompletní disertační práce.</w:t>
            </w:r>
          </w:p>
        </w:tc>
      </w:tr>
    </w:tbl>
    <w:p w:rsidR="00E143F0" w:rsidRDefault="00E143F0"/>
    <w:sectPr w:rsidR="00E1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5E3"/>
    <w:multiLevelType w:val="hybridMultilevel"/>
    <w:tmpl w:val="DCE4A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7E43"/>
    <w:multiLevelType w:val="hybridMultilevel"/>
    <w:tmpl w:val="5A54D40E"/>
    <w:lvl w:ilvl="0" w:tplc="7D5C9526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36929"/>
    <w:multiLevelType w:val="hybridMultilevel"/>
    <w:tmpl w:val="5D04C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1C2E"/>
    <w:multiLevelType w:val="hybridMultilevel"/>
    <w:tmpl w:val="4BC8D008"/>
    <w:lvl w:ilvl="0" w:tplc="B4E0694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30AD0C1B"/>
    <w:multiLevelType w:val="hybridMultilevel"/>
    <w:tmpl w:val="38E2A868"/>
    <w:lvl w:ilvl="0" w:tplc="054455C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30B53BD0"/>
    <w:multiLevelType w:val="hybridMultilevel"/>
    <w:tmpl w:val="2214DAC8"/>
    <w:lvl w:ilvl="0" w:tplc="284A28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33561A38"/>
    <w:multiLevelType w:val="hybridMultilevel"/>
    <w:tmpl w:val="0276D7FE"/>
    <w:lvl w:ilvl="0" w:tplc="023E78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EB40A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15640"/>
    <w:multiLevelType w:val="hybridMultilevel"/>
    <w:tmpl w:val="5F9C7A60"/>
    <w:lvl w:ilvl="0" w:tplc="C32AB968">
      <w:start w:val="201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6B5CFF"/>
    <w:multiLevelType w:val="hybridMultilevel"/>
    <w:tmpl w:val="E5EAC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F2665"/>
    <w:multiLevelType w:val="hybridMultilevel"/>
    <w:tmpl w:val="509280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F5724"/>
    <w:multiLevelType w:val="hybridMultilevel"/>
    <w:tmpl w:val="6ECE7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73B23831"/>
    <w:multiLevelType w:val="hybridMultilevel"/>
    <w:tmpl w:val="352C3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B32AA"/>
    <w:multiLevelType w:val="hybridMultilevel"/>
    <w:tmpl w:val="EA1A8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F0"/>
    <w:rsid w:val="002B2A96"/>
    <w:rsid w:val="003C556A"/>
    <w:rsid w:val="0071531D"/>
    <w:rsid w:val="00B32E24"/>
    <w:rsid w:val="00BF5DF6"/>
    <w:rsid w:val="00C263D4"/>
    <w:rsid w:val="00E143F0"/>
    <w:rsid w:val="00E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3F0"/>
  </w:style>
  <w:style w:type="paragraph" w:styleId="Nadpis1">
    <w:name w:val="heading 1"/>
    <w:basedOn w:val="Normln"/>
    <w:next w:val="Normln"/>
    <w:link w:val="Nadpis1Char"/>
    <w:autoRedefine/>
    <w:qFormat/>
    <w:rsid w:val="00E143F0"/>
    <w:pPr>
      <w:keepNext/>
      <w:keepLines/>
      <w:numPr>
        <w:numId w:val="8"/>
      </w:numPr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143F0"/>
    <w:pPr>
      <w:keepNext/>
      <w:numPr>
        <w:ilvl w:val="1"/>
        <w:numId w:val="8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E143F0"/>
    <w:pPr>
      <w:keepNext/>
      <w:numPr>
        <w:ilvl w:val="2"/>
        <w:numId w:val="8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43F0"/>
    <w:pPr>
      <w:keepNext/>
      <w:numPr>
        <w:ilvl w:val="3"/>
        <w:numId w:val="8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E143F0"/>
    <w:pPr>
      <w:numPr>
        <w:ilvl w:val="4"/>
        <w:numId w:val="8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E143F0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E143F0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E143F0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E143F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143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43F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E143F0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143F0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143F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E143F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E143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E143F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Zpat">
    <w:name w:val="footer"/>
    <w:basedOn w:val="Normln"/>
    <w:link w:val="ZpatChar"/>
    <w:unhideWhenUsed/>
    <w:rsid w:val="00E14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intenzivn1">
    <w:name w:val="Zdůraznění – intenzivní1"/>
    <w:aliases w:val="úvod dsp,Intense Emphasis"/>
    <w:uiPriority w:val="21"/>
    <w:qFormat/>
    <w:rsid w:val="00E143F0"/>
    <w:rPr>
      <w:rFonts w:ascii="Times New Roman" w:hAnsi="Times New Roman"/>
      <w:b w:val="0"/>
      <w:bCs/>
      <w:i w:val="0"/>
      <w:iCs/>
      <w:color w:val="auto"/>
      <w:sz w:val="24"/>
    </w:rPr>
  </w:style>
  <w:style w:type="paragraph" w:customStyle="1" w:styleId="Vchoz">
    <w:name w:val="Výchozí"/>
    <w:rsid w:val="00715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F5DF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F5DF6"/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263D4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263D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3F0"/>
  </w:style>
  <w:style w:type="paragraph" w:styleId="Nadpis1">
    <w:name w:val="heading 1"/>
    <w:basedOn w:val="Normln"/>
    <w:next w:val="Normln"/>
    <w:link w:val="Nadpis1Char"/>
    <w:autoRedefine/>
    <w:qFormat/>
    <w:rsid w:val="00E143F0"/>
    <w:pPr>
      <w:keepNext/>
      <w:keepLines/>
      <w:numPr>
        <w:numId w:val="8"/>
      </w:numPr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143F0"/>
    <w:pPr>
      <w:keepNext/>
      <w:numPr>
        <w:ilvl w:val="1"/>
        <w:numId w:val="8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E143F0"/>
    <w:pPr>
      <w:keepNext/>
      <w:numPr>
        <w:ilvl w:val="2"/>
        <w:numId w:val="8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43F0"/>
    <w:pPr>
      <w:keepNext/>
      <w:numPr>
        <w:ilvl w:val="3"/>
        <w:numId w:val="8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E143F0"/>
    <w:pPr>
      <w:numPr>
        <w:ilvl w:val="4"/>
        <w:numId w:val="8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E143F0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E143F0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E143F0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E143F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143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43F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E143F0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143F0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143F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E143F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E143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E143F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Zpat">
    <w:name w:val="footer"/>
    <w:basedOn w:val="Normln"/>
    <w:link w:val="ZpatChar"/>
    <w:unhideWhenUsed/>
    <w:rsid w:val="00E14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intenzivn1">
    <w:name w:val="Zdůraznění – intenzivní1"/>
    <w:aliases w:val="úvod dsp,Intense Emphasis"/>
    <w:uiPriority w:val="21"/>
    <w:qFormat/>
    <w:rsid w:val="00E143F0"/>
    <w:rPr>
      <w:rFonts w:ascii="Times New Roman" w:hAnsi="Times New Roman"/>
      <w:b w:val="0"/>
      <w:bCs/>
      <w:i w:val="0"/>
      <w:iCs/>
      <w:color w:val="auto"/>
      <w:sz w:val="24"/>
    </w:rPr>
  </w:style>
  <w:style w:type="paragraph" w:customStyle="1" w:styleId="Vchoz">
    <w:name w:val="Výchozí"/>
    <w:rsid w:val="00715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F5DF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F5DF6"/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263D4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263D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1621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3</cp:revision>
  <dcterms:created xsi:type="dcterms:W3CDTF">2018-10-16T14:04:00Z</dcterms:created>
  <dcterms:modified xsi:type="dcterms:W3CDTF">2018-10-16T14:19:00Z</dcterms:modified>
</cp:coreProperties>
</file>