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82A9" w14:textId="77777777" w:rsidR="0008321F" w:rsidRDefault="0008321F" w:rsidP="00DB2760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</w:p>
    <w:p w14:paraId="510B5DA2" w14:textId="46DDECE9" w:rsidR="0008321F" w:rsidRDefault="00003E37" w:rsidP="00DB2760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08321F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>POŽADAVKY KE STÁTNÍ DOKTORSKÉ ZKOUŠCE</w:t>
      </w:r>
    </w:p>
    <w:p w14:paraId="4E1BA24F" w14:textId="786B8CF4" w:rsidR="009732FB" w:rsidRPr="00410B92" w:rsidRDefault="009732FB" w:rsidP="00DB2760">
      <w:pPr>
        <w:jc w:val="center"/>
        <w:rPr>
          <w:rFonts w:asciiTheme="minorHAnsi" w:hAnsiTheme="minorHAnsi" w:cstheme="minorHAnsi"/>
        </w:rPr>
      </w:pPr>
      <w:r w:rsidRPr="00410B92">
        <w:rPr>
          <w:rFonts w:asciiTheme="minorHAnsi" w:hAnsiTheme="minorHAnsi" w:cstheme="minorHAnsi"/>
        </w:rPr>
        <w:t xml:space="preserve">v doktorském studijním programu </w:t>
      </w:r>
    </w:p>
    <w:sdt>
      <w:sdtPr>
        <w:rPr>
          <w:rFonts w:asciiTheme="minorHAnsi" w:hAnsiTheme="minorHAnsi" w:cstheme="minorHAnsi"/>
          <w:b/>
        </w:rPr>
        <w:id w:val="2080783324"/>
        <w:placeholder>
          <w:docPart w:val="738250A6958E4964AD4B346A219994EB"/>
        </w:placeholder>
        <w:comboBox>
          <w:listItem w:value="Zvolte položku."/>
          <w:listItem w:displayText="Čtenářství a mediální výchova ve vzdělávání" w:value="Čtenářství a mediální výchova ve vzdělávání"/>
          <w:listItem w:displayText="Didaktika informatiky a digitálních technologií" w:value="Didaktika informatiky a digitálních technologií"/>
          <w:listItem w:displayText="Hudební teorie a pedagogika" w:value="Hudební teorie a pedagogika"/>
          <w:listItem w:displayText="Matematická gramotnost ve vzdělávání" w:value="Matematická gramotnost ve vzdělávání"/>
          <w:listItem w:displayText="Pedagogika " w:value="Pedagogika "/>
          <w:listItem w:displayText="Speciální pedagogika " w:value="Speciální pedagogika "/>
          <w:listItem w:displayText="Výtvarná pedagogika (teorie výtvarné výchovy a tvorby)" w:value="Výtvarná pedagogika (teorie výtvarné výchovy a tvorby)"/>
        </w:comboBox>
      </w:sdtPr>
      <w:sdtEndPr/>
      <w:sdtContent>
        <w:p w14:paraId="103D38CA" w14:textId="4993709F" w:rsidR="002B4420" w:rsidRPr="00410B92" w:rsidRDefault="004E253E" w:rsidP="00DB2760">
          <w:pPr>
            <w:jc w:val="center"/>
            <w:rPr>
              <w:rFonts w:asciiTheme="minorHAnsi" w:hAnsiTheme="minorHAnsi" w:cstheme="minorHAnsi"/>
            </w:rPr>
          </w:pPr>
          <w:r w:rsidRPr="00E32E7B">
            <w:rPr>
              <w:rFonts w:asciiTheme="minorHAnsi" w:hAnsiTheme="minorHAnsi" w:cstheme="minorHAnsi"/>
              <w:b/>
            </w:rPr>
            <w:t>Matematická gramotnost ve vzdělávání</w:t>
          </w:r>
        </w:p>
      </w:sdtContent>
    </w:sdt>
    <w:p w14:paraId="67051F28" w14:textId="35C2DDCD" w:rsidR="00904B00" w:rsidRDefault="00904B00" w:rsidP="00AE67B1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FC3E4C2" w14:textId="77777777" w:rsidR="00003E37" w:rsidRPr="00003E37" w:rsidRDefault="00003E37" w:rsidP="00AE67B1">
      <w:pPr>
        <w:pStyle w:val="Nzev"/>
        <w:jc w:val="left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410B92" w14:paraId="634CE98B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3A8F1B0" w14:textId="0F613E67" w:rsidR="00AE67B1" w:rsidRPr="00AE67B1" w:rsidRDefault="00AE67B1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67B1">
              <w:rPr>
                <w:rFonts w:asciiTheme="minorHAnsi" w:hAnsiTheme="minorHAnsi" w:cstheme="minorHAnsi"/>
                <w:b/>
                <w:bCs/>
                <w:i/>
              </w:rPr>
              <w:t xml:space="preserve">Požadavky k podání přihlášky ke státní doktorské zkoušce </w:t>
            </w:r>
          </w:p>
        </w:tc>
      </w:tr>
      <w:tr w:rsidR="00AE67B1" w:rsidRPr="00410B92" w14:paraId="0CF67764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DC7F" w14:textId="77777777" w:rsidR="0095258B" w:rsidRPr="00782014" w:rsidRDefault="0095258B" w:rsidP="0095258B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82014">
              <w:rPr>
                <w:rFonts w:asciiTheme="minorHAnsi" w:hAnsiTheme="minorHAnsi" w:cstheme="minorHAnsi"/>
                <w:i/>
                <w:iCs/>
              </w:rPr>
              <w:t xml:space="preserve">Student se může přihlásit ke státní doktorské zkoušce po splnění všech povinností daných jeho studijním plánem a předpisy UP v Olomouci a Pedagogické fakulty UP v Olomouci. </w:t>
            </w:r>
          </w:p>
          <w:p w14:paraId="7C30481B" w14:textId="77777777" w:rsidR="006A477E" w:rsidRDefault="006A477E" w:rsidP="0072611B">
            <w:pPr>
              <w:jc w:val="both"/>
              <w:rPr>
                <w:rFonts w:asciiTheme="minorHAnsi" w:hAnsiTheme="minorHAnsi" w:cstheme="minorHAnsi"/>
                <w:i/>
                <w:highlight w:val="cyan"/>
              </w:rPr>
            </w:pPr>
          </w:p>
          <w:p w14:paraId="7D4B18F4" w14:textId="400E35BC" w:rsidR="0072611B" w:rsidRPr="00607EE3" w:rsidRDefault="0072611B" w:rsidP="0072611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607EE3">
              <w:rPr>
                <w:rFonts w:asciiTheme="minorHAnsi" w:hAnsiTheme="minorHAnsi" w:cstheme="minorHAnsi"/>
                <w:i/>
              </w:rPr>
              <w:t xml:space="preserve">S přihláškou ke státní doktorské zkoušce odevzdají studenti teze připravované disertační práce v rozsahu max. 15 stran textu (přílohy se do uvedeného počtu stran nezapočítávají). </w:t>
            </w:r>
          </w:p>
          <w:p w14:paraId="450935D0" w14:textId="77777777" w:rsidR="0072611B" w:rsidRPr="00607EE3" w:rsidRDefault="0072611B" w:rsidP="00A85761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607EE3">
              <w:rPr>
                <w:rFonts w:asciiTheme="minorHAnsi" w:hAnsiTheme="minorHAnsi" w:cstheme="minorHAnsi"/>
                <w:i/>
              </w:rPr>
              <w:t>Obecný návrh struktury tezí: cíl práce, teoretická východiska, metodologie výzkumu, dosavadní výzkumná zjištění, zamýšlený přínos práce.</w:t>
            </w:r>
          </w:p>
          <w:p w14:paraId="3F299698" w14:textId="3D648FBF" w:rsidR="00141211" w:rsidRPr="00141211" w:rsidRDefault="0072611B" w:rsidP="00141211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607EE3">
              <w:rPr>
                <w:rFonts w:asciiTheme="minorHAnsi" w:hAnsiTheme="minorHAnsi" w:cstheme="minorHAnsi"/>
                <w:i/>
              </w:rPr>
              <w:t>Přílohy tezí: CV studenta, soupis odborných aktivit a publikační činnosti</w:t>
            </w:r>
            <w:r w:rsidR="00BA657F">
              <w:rPr>
                <w:rFonts w:asciiTheme="minorHAnsi" w:hAnsiTheme="minorHAnsi" w:cstheme="minorHAnsi"/>
                <w:i/>
              </w:rPr>
              <w:t>,</w:t>
            </w:r>
            <w:r w:rsidR="00BA657F" w:rsidRPr="00141211">
              <w:rPr>
                <w:rFonts w:asciiTheme="minorHAnsi" w:hAnsiTheme="minorHAnsi" w:cstheme="minorHAnsi"/>
                <w:i/>
              </w:rPr>
              <w:t xml:space="preserve"> prezentací</w:t>
            </w:r>
            <w:r w:rsidR="00BA657F">
              <w:rPr>
                <w:rFonts w:asciiTheme="minorHAnsi" w:hAnsiTheme="minorHAnsi" w:cstheme="minorHAnsi"/>
                <w:i/>
              </w:rPr>
              <w:t xml:space="preserve">, </w:t>
            </w:r>
            <w:r w:rsidR="00BA657F" w:rsidRPr="00141211">
              <w:rPr>
                <w:rFonts w:asciiTheme="minorHAnsi" w:hAnsiTheme="minorHAnsi" w:cstheme="minorHAnsi"/>
                <w:i/>
              </w:rPr>
              <w:t>přehled konferenčních vystoupení</w:t>
            </w:r>
            <w:r w:rsidRPr="00607EE3">
              <w:rPr>
                <w:rFonts w:asciiTheme="minorHAnsi" w:hAnsiTheme="minorHAnsi" w:cstheme="minorHAnsi"/>
                <w:i/>
              </w:rPr>
              <w:t xml:space="preserve">, seznam prostudované odborné literatury.  </w:t>
            </w:r>
          </w:p>
          <w:p w14:paraId="18A855F6" w14:textId="79CD1BA4" w:rsidR="00AE67B1" w:rsidRDefault="00AE67B1" w:rsidP="00860DC4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43926E94" w14:textId="77777777" w:rsidR="00AE67B1" w:rsidRDefault="00AE67B1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06BA322" w14:textId="1C5E3362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410B92" w14:paraId="5390B819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2B34AD" w14:textId="6B8128C8" w:rsidR="00AE67B1" w:rsidRPr="00AE67B1" w:rsidRDefault="00AE67B1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Zkušební o</w:t>
            </w:r>
            <w:r w:rsidRPr="00AE67B1">
              <w:rPr>
                <w:rFonts w:asciiTheme="minorHAnsi" w:hAnsiTheme="minorHAnsi" w:cstheme="minorHAnsi"/>
                <w:b/>
                <w:bCs/>
                <w:i/>
              </w:rPr>
              <w:t>kruhy státní doktorské zkouš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ky</w:t>
            </w:r>
          </w:p>
        </w:tc>
      </w:tr>
      <w:tr w:rsidR="00AE67B1" w:rsidRPr="00410B92" w14:paraId="725A08EB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79C6" w14:textId="77777777" w:rsidR="006A477E" w:rsidRPr="00782014" w:rsidRDefault="006A477E" w:rsidP="006A477E">
            <w:pPr>
              <w:rPr>
                <w:rFonts w:asciiTheme="minorHAnsi" w:hAnsiTheme="minorHAnsi" w:cstheme="minorHAnsi"/>
                <w:i/>
              </w:rPr>
            </w:pPr>
            <w:r w:rsidRPr="00782014">
              <w:rPr>
                <w:rFonts w:asciiTheme="minorHAnsi" w:hAnsiTheme="minorHAnsi" w:cstheme="minorHAnsi"/>
                <w:i/>
              </w:rPr>
              <w:t>Státní doktorská zkouška je tvořena dvěma okruhy:</w:t>
            </w:r>
          </w:p>
          <w:p w14:paraId="77EE8DA6" w14:textId="77777777" w:rsidR="006A477E" w:rsidRDefault="006A477E" w:rsidP="006A477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782014">
              <w:rPr>
                <w:rFonts w:asciiTheme="minorHAnsi" w:hAnsiTheme="minorHAnsi" w:cstheme="minorHAnsi"/>
                <w:i/>
              </w:rPr>
              <w:t>teoretický a metodologický základ oboru, tj. matematické gramotnosti,</w:t>
            </w:r>
          </w:p>
          <w:p w14:paraId="15BD08A7" w14:textId="77777777" w:rsidR="006A477E" w:rsidRPr="00CF11ED" w:rsidRDefault="006A477E" w:rsidP="006A477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782014">
              <w:rPr>
                <w:rFonts w:asciiTheme="minorHAnsi" w:hAnsiTheme="minorHAnsi" w:cstheme="minorHAnsi"/>
                <w:i/>
              </w:rPr>
              <w:t>specializační s vazbou na tématiku disertační práce</w:t>
            </w:r>
            <w:r w:rsidRPr="00CF11ED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311D3A2" w14:textId="77777777" w:rsidR="00394C13" w:rsidRDefault="00394C13" w:rsidP="00782014">
            <w:pPr>
              <w:rPr>
                <w:rFonts w:asciiTheme="minorHAnsi" w:hAnsiTheme="minorHAnsi" w:cstheme="minorHAnsi"/>
                <w:i/>
              </w:rPr>
            </w:pPr>
          </w:p>
          <w:p w14:paraId="7C0D3040" w14:textId="77777777" w:rsidR="00CD008F" w:rsidRDefault="00CD008F" w:rsidP="00CD008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33DED">
              <w:rPr>
                <w:rFonts w:asciiTheme="minorHAnsi" w:hAnsiTheme="minorHAnsi" w:cstheme="minorHAnsi"/>
                <w:b/>
              </w:rPr>
              <w:t>Zkušební okruh</w:t>
            </w:r>
            <w:r>
              <w:rPr>
                <w:rFonts w:asciiTheme="minorHAnsi" w:hAnsiTheme="minorHAnsi" w:cstheme="minorHAnsi"/>
                <w:b/>
              </w:rPr>
              <w:t>y pro státní doktorskou zkoušku:</w:t>
            </w:r>
          </w:p>
          <w:p w14:paraId="40C70CA4" w14:textId="545916BF" w:rsidR="00E45033" w:rsidRPr="00E45033" w:rsidRDefault="00E45033" w:rsidP="00005F97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45033">
              <w:rPr>
                <w:rFonts w:asciiTheme="minorHAnsi" w:hAnsiTheme="minorHAnsi" w:cstheme="minorHAnsi"/>
                <w:i/>
              </w:rPr>
              <w:t>Mezinárodní výzkumy PISA a TIMSS</w:t>
            </w:r>
            <w:r w:rsidR="00CD008F">
              <w:rPr>
                <w:rFonts w:asciiTheme="minorHAnsi" w:hAnsiTheme="minorHAnsi" w:cstheme="minorHAnsi"/>
                <w:i/>
              </w:rPr>
              <w:t xml:space="preserve"> </w:t>
            </w:r>
            <w:r w:rsidR="001256F8">
              <w:rPr>
                <w:rFonts w:asciiTheme="minorHAnsi" w:hAnsiTheme="minorHAnsi" w:cstheme="minorHAnsi"/>
                <w:i/>
              </w:rPr>
              <w:t>zaměřené na</w:t>
            </w:r>
            <w:r w:rsidR="00005F97">
              <w:rPr>
                <w:rFonts w:asciiTheme="minorHAnsi" w:hAnsiTheme="minorHAnsi" w:cstheme="minorHAnsi"/>
                <w:i/>
              </w:rPr>
              <w:t xml:space="preserve"> matematickou gramotnost</w:t>
            </w:r>
            <w:r w:rsidRPr="00E45033">
              <w:rPr>
                <w:rFonts w:asciiTheme="minorHAnsi" w:hAnsiTheme="minorHAnsi" w:cstheme="minorHAnsi"/>
                <w:i/>
              </w:rPr>
              <w:t>. Historie, vývoj, aktuální výsledky, rozdíly.</w:t>
            </w:r>
          </w:p>
          <w:p w14:paraId="2A96828A" w14:textId="26EB7DEC" w:rsidR="00394C13" w:rsidRPr="00394C13" w:rsidRDefault="00E45033" w:rsidP="00394C13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45033">
              <w:rPr>
                <w:rFonts w:asciiTheme="minorHAnsi" w:hAnsiTheme="minorHAnsi" w:cstheme="minorHAnsi"/>
                <w:i/>
              </w:rPr>
              <w:t>Matematická gramotnost. Vymezení pojmu v širších souvislostech. Složky matematické gramotnosti (situace a kontexty, matematický obsah, matematické kompetence).</w:t>
            </w:r>
            <w:r w:rsidR="00394C13">
              <w:rPr>
                <w:rFonts w:asciiTheme="minorHAnsi" w:hAnsiTheme="minorHAnsi" w:cstheme="minorHAnsi"/>
                <w:i/>
              </w:rPr>
              <w:t xml:space="preserve"> </w:t>
            </w:r>
            <w:r w:rsidR="00394C13" w:rsidRPr="00394C13">
              <w:rPr>
                <w:rFonts w:asciiTheme="minorHAnsi" w:hAnsiTheme="minorHAnsi" w:cstheme="minorHAnsi"/>
                <w:i/>
              </w:rPr>
              <w:t>Matematická gramotnost v kurikulárních dokumentech.</w:t>
            </w:r>
          </w:p>
          <w:p w14:paraId="0D9CB798" w14:textId="77777777" w:rsidR="00005F97" w:rsidRDefault="00E45033" w:rsidP="00005F97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45033">
              <w:rPr>
                <w:rFonts w:asciiTheme="minorHAnsi" w:hAnsiTheme="minorHAnsi" w:cstheme="minorHAnsi"/>
                <w:i/>
              </w:rPr>
              <w:t>Rozvoj matematické gramotnosti prostřednictvím vybraných matematických oborů (hladká optimal</w:t>
            </w:r>
            <w:bookmarkStart w:id="0" w:name="_GoBack"/>
            <w:bookmarkEnd w:id="0"/>
            <w:r w:rsidRPr="00E45033">
              <w:rPr>
                <w:rFonts w:asciiTheme="minorHAnsi" w:hAnsiTheme="minorHAnsi" w:cstheme="minorHAnsi"/>
                <w:i/>
              </w:rPr>
              <w:t xml:space="preserve">izace, nehladká optimalizace, algebraické struktury, lineární programování, teorie her, teorie čísel, konstrukční geometrie, kombinatorika, pravděpodobnost). </w:t>
            </w:r>
          </w:p>
          <w:p w14:paraId="29082B6C" w14:textId="77777777" w:rsidR="00005F97" w:rsidRDefault="00E45033" w:rsidP="00005F97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45033">
              <w:rPr>
                <w:rFonts w:asciiTheme="minorHAnsi" w:hAnsiTheme="minorHAnsi" w:cstheme="minorHAnsi"/>
                <w:i/>
              </w:rPr>
              <w:t xml:space="preserve">Rozvoj matematické gramotnosti s využitím digitálních technologií. </w:t>
            </w:r>
          </w:p>
          <w:p w14:paraId="4B9D2D4F" w14:textId="503C013C" w:rsidR="00E45033" w:rsidRPr="00E45033" w:rsidRDefault="00E45033" w:rsidP="00005F97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45033">
              <w:rPr>
                <w:rFonts w:asciiTheme="minorHAnsi" w:hAnsiTheme="minorHAnsi" w:cstheme="minorHAnsi"/>
                <w:i/>
              </w:rPr>
              <w:t>Metody a formy práce na rozvoj matematické gramotnosti ve výuce matematiky.</w:t>
            </w:r>
          </w:p>
          <w:p w14:paraId="67E00378" w14:textId="77777777" w:rsidR="00E45033" w:rsidRPr="00E45033" w:rsidRDefault="00E45033" w:rsidP="00005F97">
            <w:pPr>
              <w:pStyle w:val="Odstavecseseznamem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45033">
              <w:rPr>
                <w:rFonts w:asciiTheme="minorHAnsi" w:hAnsiTheme="minorHAnsi" w:cstheme="minorHAnsi"/>
                <w:i/>
              </w:rPr>
              <w:t xml:space="preserve">Úlohy na rozvoj matematické gramotnosti. Specifika. Matematický obsah. Výběr vhodných úloh dle věku žáků. Metody řešení. </w:t>
            </w:r>
          </w:p>
          <w:p w14:paraId="17F1EF48" w14:textId="3E61C790" w:rsidR="00E45033" w:rsidRDefault="00E45033" w:rsidP="00005F97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45033">
              <w:rPr>
                <w:rFonts w:asciiTheme="minorHAnsi" w:hAnsiTheme="minorHAnsi" w:cstheme="minorHAnsi"/>
                <w:i/>
              </w:rPr>
              <w:t xml:space="preserve">Matematické modely reálných situací včetně jejich řešení. </w:t>
            </w:r>
          </w:p>
          <w:p w14:paraId="4831AA8A" w14:textId="23926EF0" w:rsidR="006A477E" w:rsidRDefault="006A477E" w:rsidP="006A477E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</w:p>
          <w:p w14:paraId="1A2E03F2" w14:textId="4245CB46" w:rsidR="00AE67B1" w:rsidRPr="00141211" w:rsidRDefault="006A477E" w:rsidP="001412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82014">
              <w:rPr>
                <w:rFonts w:asciiTheme="minorHAnsi" w:hAnsiTheme="minorHAnsi" w:cstheme="minorHAnsi"/>
                <w:i/>
                <w:iCs/>
              </w:rPr>
              <w:t>Student při státní doktorské zkoušce prokazuje hlubší teoretické znalosti v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oblasti</w:t>
            </w:r>
            <w:r w:rsidRPr="00782014">
              <w:rPr>
                <w:rFonts w:asciiTheme="minorHAnsi" w:hAnsiTheme="minorHAnsi" w:cstheme="minorHAnsi"/>
                <w:i/>
                <w:iCs/>
              </w:rPr>
              <w:t xml:space="preserve"> matematická gramotnost a je</w:t>
            </w:r>
            <w:r>
              <w:rPr>
                <w:rFonts w:asciiTheme="minorHAnsi" w:hAnsiTheme="minorHAnsi" w:cstheme="minorHAnsi"/>
                <w:i/>
                <w:iCs/>
              </w:rPr>
              <w:t>jím</w:t>
            </w:r>
            <w:r w:rsidRPr="00782014">
              <w:rPr>
                <w:rFonts w:asciiTheme="minorHAnsi" w:hAnsiTheme="minorHAnsi" w:cstheme="minorHAnsi"/>
                <w:i/>
                <w:iCs/>
              </w:rPr>
              <w:t xml:space="preserve"> širším vědním základě, dále způsobilost osvojovat si nové vědecké poznatky, hodnotit je a tvůrčím způsobem je používat.</w:t>
            </w:r>
            <w:r w:rsidR="008F02C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82014">
              <w:rPr>
                <w:rFonts w:asciiTheme="minorHAnsi" w:hAnsiTheme="minorHAnsi" w:cstheme="minorHAnsi"/>
                <w:i/>
              </w:rPr>
              <w:t>V</w:t>
            </w:r>
            <w:r w:rsidR="008F02C2">
              <w:rPr>
                <w:rFonts w:asciiTheme="minorHAnsi" w:hAnsiTheme="minorHAnsi" w:cstheme="minorHAnsi"/>
                <w:i/>
              </w:rPr>
              <w:t xml:space="preserve"> průběhu </w:t>
            </w:r>
            <w:r w:rsidRPr="00782014">
              <w:rPr>
                <w:rFonts w:asciiTheme="minorHAnsi" w:hAnsiTheme="minorHAnsi" w:cstheme="minorHAnsi"/>
                <w:i/>
              </w:rPr>
              <w:t>státní závěrečné zkoušky je student povinen prokázat osvojené znalosti z oblasti povinných a povinně volitelných disciplín, a to především v oblasti, na kterou je zaměřena disertační práce studenta.</w:t>
            </w:r>
          </w:p>
        </w:tc>
      </w:tr>
    </w:tbl>
    <w:p w14:paraId="262070C1" w14:textId="2BBD0622" w:rsidR="00C72AA9" w:rsidRDefault="00C72AA9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DA11DA5" w14:textId="78FB0DDE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03E37" w:rsidRPr="00410B92" w14:paraId="1C0D7E69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5DF214E" w14:textId="67AAC705" w:rsidR="00003E37" w:rsidRPr="00AE67B1" w:rsidRDefault="00003E37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Průběh</w:t>
            </w:r>
            <w:r w:rsidRPr="00AE67B1">
              <w:rPr>
                <w:rFonts w:asciiTheme="minorHAnsi" w:hAnsiTheme="minorHAnsi" w:cstheme="minorHAnsi"/>
                <w:b/>
                <w:bCs/>
                <w:i/>
              </w:rPr>
              <w:t xml:space="preserve"> státní doktorské zkouš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ky</w:t>
            </w:r>
          </w:p>
        </w:tc>
      </w:tr>
      <w:tr w:rsidR="00003E37" w:rsidRPr="00410B92" w14:paraId="7C0091C2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C690" w14:textId="2319DDCB" w:rsidR="008E5A0D" w:rsidRPr="00782014" w:rsidRDefault="008E5A0D" w:rsidP="008E5A0D">
            <w:pPr>
              <w:rPr>
                <w:rFonts w:asciiTheme="minorHAnsi" w:hAnsiTheme="minorHAnsi" w:cstheme="minorHAnsi"/>
                <w:i/>
              </w:rPr>
            </w:pPr>
            <w:r w:rsidRPr="00782014">
              <w:rPr>
                <w:rFonts w:asciiTheme="minorHAnsi" w:hAnsiTheme="minorHAnsi" w:cstheme="minorHAnsi"/>
                <w:i/>
              </w:rPr>
              <w:t xml:space="preserve">Státní doktorská zkouška </w:t>
            </w:r>
            <w:r w:rsidR="006E27B3">
              <w:rPr>
                <w:rFonts w:asciiTheme="minorHAnsi" w:hAnsiTheme="minorHAnsi" w:cstheme="minorHAnsi"/>
                <w:i/>
              </w:rPr>
              <w:t>má dvě části</w:t>
            </w:r>
            <w:r w:rsidRPr="00782014">
              <w:rPr>
                <w:rFonts w:asciiTheme="minorHAnsi" w:hAnsiTheme="minorHAnsi" w:cstheme="minorHAnsi"/>
                <w:i/>
              </w:rPr>
              <w:t>:</w:t>
            </w:r>
          </w:p>
          <w:p w14:paraId="503544BE" w14:textId="03829DD4" w:rsidR="008E5A0D" w:rsidRDefault="008E5A0D" w:rsidP="00D10678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O</w:t>
            </w:r>
            <w:r w:rsidR="00CF11ED" w:rsidRPr="008E5A0D">
              <w:rPr>
                <w:rFonts w:asciiTheme="minorHAnsi" w:hAnsiTheme="minorHAnsi" w:cstheme="minorHAnsi"/>
                <w:i/>
              </w:rPr>
              <w:t>bhajoba tezí disertační práce</w:t>
            </w:r>
            <w:r w:rsidR="00E065FD">
              <w:rPr>
                <w:rFonts w:asciiTheme="minorHAnsi" w:hAnsiTheme="minorHAnsi" w:cstheme="minorHAnsi"/>
                <w:i/>
              </w:rPr>
              <w:t xml:space="preserve">. </w:t>
            </w:r>
            <w:r w:rsidR="00CF11ED" w:rsidRPr="008E5A0D">
              <w:rPr>
                <w:rFonts w:asciiTheme="minorHAnsi" w:hAnsiTheme="minorHAnsi" w:cstheme="minorHAnsi"/>
                <w:i/>
              </w:rPr>
              <w:t>Student DSP stručně charakterizuje před komisí cíle, teoretická východiska, metody a předběžné výsledky své disertační práce</w:t>
            </w:r>
            <w:r w:rsidR="006E27B3">
              <w:rPr>
                <w:rFonts w:asciiTheme="minorHAnsi" w:hAnsiTheme="minorHAnsi" w:cstheme="minorHAnsi"/>
                <w:i/>
              </w:rPr>
              <w:t xml:space="preserve"> (</w:t>
            </w:r>
            <w:r w:rsidR="00EA33B5">
              <w:rPr>
                <w:rFonts w:asciiTheme="minorHAnsi" w:hAnsiTheme="minorHAnsi" w:cstheme="minorHAnsi"/>
                <w:i/>
              </w:rPr>
              <w:t xml:space="preserve">cca </w:t>
            </w:r>
            <w:r w:rsidR="006E27B3">
              <w:rPr>
                <w:rFonts w:asciiTheme="minorHAnsi" w:hAnsiTheme="minorHAnsi" w:cstheme="minorHAnsi"/>
                <w:i/>
              </w:rPr>
              <w:t>15 minut)</w:t>
            </w:r>
            <w:r w:rsidR="00CF11ED" w:rsidRPr="008E5A0D">
              <w:rPr>
                <w:rFonts w:asciiTheme="minorHAnsi" w:hAnsiTheme="minorHAnsi" w:cstheme="minorHAnsi"/>
                <w:i/>
              </w:rPr>
              <w:t xml:space="preserve">. </w:t>
            </w:r>
          </w:p>
          <w:p w14:paraId="25605744" w14:textId="3FECD815" w:rsidR="00003E37" w:rsidRDefault="00E065FD" w:rsidP="00AC1AFF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i/>
              </w:rPr>
            </w:pPr>
            <w:r w:rsidRPr="00AC1AFF">
              <w:rPr>
                <w:rFonts w:asciiTheme="minorHAnsi" w:hAnsiTheme="minorHAnsi" w:cstheme="minorHAnsi"/>
                <w:i/>
              </w:rPr>
              <w:t xml:space="preserve">Ústní část. </w:t>
            </w:r>
            <w:r w:rsidR="00DF1A48">
              <w:rPr>
                <w:rFonts w:asciiTheme="minorHAnsi" w:hAnsiTheme="minorHAnsi" w:cstheme="minorHAnsi"/>
                <w:i/>
              </w:rPr>
              <w:t xml:space="preserve"> V rámci ústní zkoušky doktorand v</w:t>
            </w:r>
            <w:r w:rsidR="00D10678" w:rsidRPr="00AC1AFF">
              <w:rPr>
                <w:rFonts w:asciiTheme="minorHAnsi" w:hAnsiTheme="minorHAnsi" w:cstheme="minorHAnsi"/>
                <w:i/>
              </w:rPr>
              <w:t>ylosuj</w:t>
            </w:r>
            <w:r w:rsidR="00DF1A48">
              <w:rPr>
                <w:rFonts w:asciiTheme="minorHAnsi" w:hAnsiTheme="minorHAnsi" w:cstheme="minorHAnsi"/>
                <w:i/>
              </w:rPr>
              <w:t>e dva okruhy</w:t>
            </w:r>
            <w:r w:rsidR="002F6F9E">
              <w:rPr>
                <w:rFonts w:asciiTheme="minorHAnsi" w:hAnsiTheme="minorHAnsi" w:cstheme="minorHAnsi"/>
                <w:i/>
              </w:rPr>
              <w:t>, o kterých pohovoří</w:t>
            </w:r>
            <w:r w:rsidR="00FB6D49">
              <w:rPr>
                <w:rFonts w:asciiTheme="minorHAnsi" w:hAnsiTheme="minorHAnsi" w:cstheme="minorHAnsi"/>
                <w:i/>
              </w:rPr>
              <w:t xml:space="preserve"> </w:t>
            </w:r>
            <w:r w:rsidR="00AD7F79" w:rsidRPr="004B7F29">
              <w:rPr>
                <w:rFonts w:asciiTheme="minorHAnsi" w:hAnsiTheme="minorHAnsi" w:cstheme="minorHAnsi"/>
                <w:i/>
              </w:rPr>
              <w:t xml:space="preserve">na základě doporučené literatury </w:t>
            </w:r>
            <w:r w:rsidR="00FB6D49" w:rsidRPr="004B7F29">
              <w:rPr>
                <w:rFonts w:asciiTheme="minorHAnsi" w:hAnsiTheme="minorHAnsi" w:cstheme="minorHAnsi"/>
                <w:i/>
              </w:rPr>
              <w:t>a zodpoví</w:t>
            </w:r>
            <w:r w:rsidR="00FB6D49">
              <w:rPr>
                <w:rFonts w:asciiTheme="minorHAnsi" w:hAnsiTheme="minorHAnsi" w:cstheme="minorHAnsi"/>
                <w:i/>
              </w:rPr>
              <w:t xml:space="preserve"> dotazy členů komise</w:t>
            </w:r>
            <w:r w:rsidR="00D10678" w:rsidRPr="00AC1AFF">
              <w:rPr>
                <w:rFonts w:asciiTheme="minorHAnsi" w:hAnsiTheme="minorHAnsi" w:cstheme="minorHAnsi"/>
                <w:i/>
              </w:rPr>
              <w:t>.</w:t>
            </w:r>
            <w:r w:rsidR="00D10678" w:rsidRPr="00AC1AFF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</w:tbl>
    <w:p w14:paraId="524FF010" w14:textId="5FB97DBD" w:rsidR="00AC12BA" w:rsidRDefault="00AC12BA" w:rsidP="00003E37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3C6E59F" w14:textId="64FA27B0" w:rsidR="00D03096" w:rsidRPr="00D03096" w:rsidRDefault="00D03096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D03096" w:rsidRPr="00D03096" w:rsidSect="0046796C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A2647" w14:textId="77777777" w:rsidR="00427601" w:rsidRDefault="00427601" w:rsidP="00C72AA9">
      <w:r>
        <w:separator/>
      </w:r>
    </w:p>
  </w:endnote>
  <w:endnote w:type="continuationSeparator" w:id="0">
    <w:p w14:paraId="7F2609B3" w14:textId="77777777" w:rsidR="00427601" w:rsidRDefault="00427601" w:rsidP="00C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946A3" w14:textId="77777777" w:rsidR="00427601" w:rsidRDefault="00427601" w:rsidP="00C72AA9">
      <w:r>
        <w:separator/>
      </w:r>
    </w:p>
  </w:footnote>
  <w:footnote w:type="continuationSeparator" w:id="0">
    <w:p w14:paraId="0FDAB513" w14:textId="77777777" w:rsidR="00427601" w:rsidRDefault="00427601" w:rsidP="00C7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F3BC" w14:textId="599A2268" w:rsidR="00C72AA9" w:rsidRDefault="00C72AA9" w:rsidP="00C72AA9">
    <w:pPr>
      <w:pStyle w:val="Zhlav"/>
      <w:jc w:val="right"/>
    </w:pPr>
    <w:r>
      <w:rPr>
        <w:noProof/>
      </w:rPr>
      <w:drawing>
        <wp:inline distT="0" distB="0" distL="0" distR="0" wp14:anchorId="7BD51D89" wp14:editId="53FE1983">
          <wp:extent cx="1240972" cy="468470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75" cy="47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BD4"/>
    <w:multiLevelType w:val="hybridMultilevel"/>
    <w:tmpl w:val="A96E9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5B66"/>
    <w:multiLevelType w:val="hybridMultilevel"/>
    <w:tmpl w:val="4D08A870"/>
    <w:lvl w:ilvl="0" w:tplc="C5027CD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07A"/>
    <w:multiLevelType w:val="hybridMultilevel"/>
    <w:tmpl w:val="F1224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A1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02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0C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6F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08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6C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7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0D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979B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614EA"/>
    <w:multiLevelType w:val="hybridMultilevel"/>
    <w:tmpl w:val="FA46D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1A1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02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0C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6F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08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6C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87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0D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C0760"/>
    <w:multiLevelType w:val="hybridMultilevel"/>
    <w:tmpl w:val="21E48346"/>
    <w:lvl w:ilvl="0" w:tplc="191E15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A00147"/>
    <w:multiLevelType w:val="hybridMultilevel"/>
    <w:tmpl w:val="E2A6B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74E7B"/>
    <w:multiLevelType w:val="hybridMultilevel"/>
    <w:tmpl w:val="B67C6006"/>
    <w:lvl w:ilvl="0" w:tplc="C5027CD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YamtQDY4+EVLQAAAA=="/>
  </w:docVars>
  <w:rsids>
    <w:rsidRoot w:val="009732FB"/>
    <w:rsid w:val="00003E37"/>
    <w:rsid w:val="00005F97"/>
    <w:rsid w:val="0008321F"/>
    <w:rsid w:val="000A4778"/>
    <w:rsid w:val="001256F8"/>
    <w:rsid w:val="00141211"/>
    <w:rsid w:val="00142D89"/>
    <w:rsid w:val="00185359"/>
    <w:rsid w:val="002110C2"/>
    <w:rsid w:val="0023214D"/>
    <w:rsid w:val="00285EFF"/>
    <w:rsid w:val="002A7FA5"/>
    <w:rsid w:val="002B4420"/>
    <w:rsid w:val="002C6CEF"/>
    <w:rsid w:val="002E7AD4"/>
    <w:rsid w:val="002F6F9E"/>
    <w:rsid w:val="00351652"/>
    <w:rsid w:val="0036714C"/>
    <w:rsid w:val="00391CFC"/>
    <w:rsid w:val="00394C13"/>
    <w:rsid w:val="003A5567"/>
    <w:rsid w:val="003A5852"/>
    <w:rsid w:val="00410B92"/>
    <w:rsid w:val="00421E71"/>
    <w:rsid w:val="00427601"/>
    <w:rsid w:val="00450A0A"/>
    <w:rsid w:val="0046796C"/>
    <w:rsid w:val="00467EFC"/>
    <w:rsid w:val="004A5F00"/>
    <w:rsid w:val="004B7F29"/>
    <w:rsid w:val="004E253E"/>
    <w:rsid w:val="00501F60"/>
    <w:rsid w:val="00506686"/>
    <w:rsid w:val="00521F43"/>
    <w:rsid w:val="00522631"/>
    <w:rsid w:val="005D0659"/>
    <w:rsid w:val="005E4DBA"/>
    <w:rsid w:val="00607EE3"/>
    <w:rsid w:val="006405CC"/>
    <w:rsid w:val="006541F9"/>
    <w:rsid w:val="006A477E"/>
    <w:rsid w:val="006E27B3"/>
    <w:rsid w:val="006E3A9D"/>
    <w:rsid w:val="00725F53"/>
    <w:rsid w:val="0072611B"/>
    <w:rsid w:val="007429BC"/>
    <w:rsid w:val="0075051A"/>
    <w:rsid w:val="00782014"/>
    <w:rsid w:val="007F64F1"/>
    <w:rsid w:val="00860DC4"/>
    <w:rsid w:val="008B1669"/>
    <w:rsid w:val="008E5A0D"/>
    <w:rsid w:val="008E6BEC"/>
    <w:rsid w:val="008F02C2"/>
    <w:rsid w:val="00904B00"/>
    <w:rsid w:val="0095258B"/>
    <w:rsid w:val="009732FB"/>
    <w:rsid w:val="009D65ED"/>
    <w:rsid w:val="009E196C"/>
    <w:rsid w:val="009F133E"/>
    <w:rsid w:val="00A45EC4"/>
    <w:rsid w:val="00A64F5F"/>
    <w:rsid w:val="00A730F7"/>
    <w:rsid w:val="00A85761"/>
    <w:rsid w:val="00A8716E"/>
    <w:rsid w:val="00AC12BA"/>
    <w:rsid w:val="00AC1AFF"/>
    <w:rsid w:val="00AD7F79"/>
    <w:rsid w:val="00AE67B1"/>
    <w:rsid w:val="00B01E94"/>
    <w:rsid w:val="00B07657"/>
    <w:rsid w:val="00B15FB8"/>
    <w:rsid w:val="00B23DEB"/>
    <w:rsid w:val="00B60503"/>
    <w:rsid w:val="00BA657F"/>
    <w:rsid w:val="00C72AA9"/>
    <w:rsid w:val="00CD008F"/>
    <w:rsid w:val="00CE6AB9"/>
    <w:rsid w:val="00CF11ED"/>
    <w:rsid w:val="00D03096"/>
    <w:rsid w:val="00D10678"/>
    <w:rsid w:val="00D9356D"/>
    <w:rsid w:val="00DB2760"/>
    <w:rsid w:val="00DF1A48"/>
    <w:rsid w:val="00DF5C40"/>
    <w:rsid w:val="00E065FD"/>
    <w:rsid w:val="00E11238"/>
    <w:rsid w:val="00E3287F"/>
    <w:rsid w:val="00E32E7B"/>
    <w:rsid w:val="00E45033"/>
    <w:rsid w:val="00E45FAA"/>
    <w:rsid w:val="00E579CF"/>
    <w:rsid w:val="00EA33B5"/>
    <w:rsid w:val="00ED143B"/>
    <w:rsid w:val="00F00333"/>
    <w:rsid w:val="00FB0C23"/>
    <w:rsid w:val="00FB6D49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D09"/>
  <w15:docId w15:val="{064FD5BF-5AE6-4A03-92B9-E1118B2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jc w:val="both"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732FB"/>
    <w:pPr>
      <w:keepNext/>
      <w:jc w:val="both"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9732FB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B44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E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E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E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E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8250A6958E4964AD4B346A2199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2471-355C-4EE8-BA5C-7233909DB435}"/>
      </w:docPartPr>
      <w:docPartBody>
        <w:p w:rsidR="00BE3488" w:rsidRDefault="00D72D49" w:rsidP="00D72D49">
          <w:pPr>
            <w:pStyle w:val="738250A6958E4964AD4B346A219994E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9"/>
    <w:rsid w:val="001153B4"/>
    <w:rsid w:val="002E4575"/>
    <w:rsid w:val="00323FD7"/>
    <w:rsid w:val="00365731"/>
    <w:rsid w:val="00496769"/>
    <w:rsid w:val="004E0078"/>
    <w:rsid w:val="00560635"/>
    <w:rsid w:val="005A40E8"/>
    <w:rsid w:val="008E6D7B"/>
    <w:rsid w:val="00A24C63"/>
    <w:rsid w:val="00BE3488"/>
    <w:rsid w:val="00C32B59"/>
    <w:rsid w:val="00C51E8B"/>
    <w:rsid w:val="00CA6011"/>
    <w:rsid w:val="00CE16DB"/>
    <w:rsid w:val="00D72D49"/>
    <w:rsid w:val="00F307DE"/>
    <w:rsid w:val="00F6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1E8B"/>
    <w:rPr>
      <w:color w:val="808080"/>
    </w:rPr>
  </w:style>
  <w:style w:type="paragraph" w:customStyle="1" w:styleId="738250A6958E4964AD4B346A219994EB">
    <w:name w:val="738250A6958E4964AD4B346A219994E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42CB-AABF-4E4A-A03A-F6B70903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4</cp:revision>
  <dcterms:created xsi:type="dcterms:W3CDTF">2021-12-09T08:11:00Z</dcterms:created>
  <dcterms:modified xsi:type="dcterms:W3CDTF">2022-03-16T12:06:00Z</dcterms:modified>
</cp:coreProperties>
</file>