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ABC" w:rsidRDefault="00703ABC" w:rsidP="00703ABC">
      <w:pPr>
        <w:pStyle w:val="Nzev"/>
      </w:pPr>
      <w:r>
        <w:t>Evaluace ve vzdělávání</w:t>
      </w:r>
    </w:p>
    <w:p w:rsidR="00703ABC" w:rsidRDefault="00703ABC" w:rsidP="00703ABC">
      <w:pPr>
        <w:rPr>
          <w:i/>
        </w:rPr>
      </w:pPr>
      <w:r>
        <w:rPr>
          <w:i/>
        </w:rPr>
        <w:t>Začneme definicí evaluace: Co podle Vás evaluace je a co všechno může zahrnovat? K čemu slouží?</w:t>
      </w:r>
    </w:p>
    <w:p w:rsidR="00703ABC" w:rsidRPr="007F18B1" w:rsidRDefault="00703ABC" w:rsidP="00703ABC">
      <w:pPr>
        <w:spacing w:after="120" w:line="276" w:lineRule="auto"/>
        <w:jc w:val="both"/>
      </w:pPr>
      <w:r w:rsidRPr="007F18B1">
        <w:t>Lidé hodnotí pořád. Každý z nás neustále hodnotí svět kolem sebe, hodnotíme vše, s čím se setkáváme, včetně sebe sama, z hlediska užitečnosti, efektivity, spravedlnosti, zábavnosti, přijatelnosti, morálních či estetických standardů</w:t>
      </w:r>
      <w:r>
        <w:t xml:space="preserve"> apod. Člověk je prostě takový –</w:t>
      </w:r>
      <w:r w:rsidRPr="007F18B1">
        <w:t xml:space="preserve"> nemůže nehodnotit.</w:t>
      </w:r>
    </w:p>
    <w:p w:rsidR="00703ABC" w:rsidRPr="007F18B1" w:rsidRDefault="00703ABC" w:rsidP="00703ABC">
      <w:pPr>
        <w:spacing w:after="120" w:line="276" w:lineRule="auto"/>
        <w:jc w:val="both"/>
      </w:pPr>
      <w:r w:rsidRPr="007F18B1">
        <w:t xml:space="preserve">Stejně tak, jako hodnotíme vše kolem sebe v běžném životě, hodnotíme prakticky neustále a cokoliv i v oblasti vzdělávání. „Ten lektor byl ale děsný.“ „To byla zase nuda.“ „To využití zpětného projektoru byl dobrý nápad.“ „Vůbec jsem tomu nerozuměl.“ „Bylo tam hrozné teplo.“ „Bylo to naprosto zbytečné, nic nového jsem se tam nenaučil.“ „Dneska jsem byl jako učitel opravdu hrozný.“ „Byla to ta nejlepší výuka, kterou jsem kdy zažil.“ Mnoho podobných výroků můžeme slyšet od účastníků, ale i lektorů či organizátorů snad každého vzdělávacího programu či kurzu. </w:t>
      </w:r>
    </w:p>
    <w:p w:rsidR="00703ABC" w:rsidRPr="007F18B1" w:rsidRDefault="00703ABC" w:rsidP="00703ABC">
      <w:pPr>
        <w:spacing w:after="120" w:line="276" w:lineRule="auto"/>
        <w:jc w:val="both"/>
      </w:pPr>
      <w:r w:rsidRPr="007F18B1">
        <w:t xml:space="preserve">Některé z těchto hodnotících soudů jsou pro vzdělavatele či realizátory vzdělávacích aktivit více a některé méně důležité. Jejich snahu zjistit ty více důležité a využít je například při plánování a realizaci dalších podobných aktivit nazýváme evaluací. Evaluaci tedy chápeme jako akt posouzení hodnoty vzdělávací akce podle určitých kritérií a zároveň i sbírání a analýzu informací, na </w:t>
      </w:r>
      <w:proofErr w:type="gramStart"/>
      <w:r w:rsidRPr="007F18B1">
        <w:t>základě</w:t>
      </w:r>
      <w:proofErr w:type="gramEnd"/>
      <w:r w:rsidRPr="007F18B1">
        <w:t xml:space="preserve"> kterých může být toto hodnocení provedeno (</w:t>
      </w:r>
      <w:proofErr w:type="spellStart"/>
      <w:r w:rsidRPr="007F18B1">
        <w:t>Hamblin</w:t>
      </w:r>
      <w:proofErr w:type="spellEnd"/>
      <w:r w:rsidRPr="007F18B1">
        <w:t xml:space="preserve">, 1974). </w:t>
      </w:r>
    </w:p>
    <w:p w:rsidR="00703ABC" w:rsidRPr="007F18B1" w:rsidRDefault="00703ABC" w:rsidP="00703ABC">
      <w:pPr>
        <w:pStyle w:val="Odstavecseseznamem"/>
        <w:numPr>
          <w:ilvl w:val="0"/>
          <w:numId w:val="2"/>
        </w:numPr>
        <w:spacing w:after="120" w:line="276" w:lineRule="auto"/>
        <w:ind w:left="284" w:hanging="284"/>
      </w:pPr>
      <w:r w:rsidRPr="007F18B1">
        <w:rPr>
          <w:b/>
          <w:sz w:val="24"/>
          <w:szCs w:val="24"/>
        </w:rPr>
        <w:t>PŘÍSTUPY A MODELY EVALUACE</w:t>
      </w:r>
    </w:p>
    <w:p w:rsidR="00703ABC" w:rsidRDefault="00703ABC" w:rsidP="00703ABC">
      <w:pPr>
        <w:spacing w:after="120" w:line="276" w:lineRule="auto"/>
        <w:jc w:val="both"/>
        <w:rPr>
          <w:sz w:val="23"/>
          <w:szCs w:val="23"/>
        </w:rPr>
      </w:pPr>
      <w:r w:rsidRPr="007F18B1">
        <w:t xml:space="preserve">Již ve 30. letech 20. století začínají vědci z oblasti sociálních věd využívat přesných vědeckých metod k hodnocení společenských programů z různých oblastí, během 60. let 20. století se pak evaluace začíná institucionalizovat jako samostatná oblast činnosti a začíná se formovat její teorie (Smith, 2006). Na konci 60. let Donald L. </w:t>
      </w:r>
      <w:proofErr w:type="spellStart"/>
      <w:r w:rsidRPr="007F18B1">
        <w:t>Kirkpatrick</w:t>
      </w:r>
      <w:proofErr w:type="spellEnd"/>
      <w:r w:rsidRPr="007F18B1">
        <w:t xml:space="preserve"> vytvořil svůj </w:t>
      </w:r>
      <w:proofErr w:type="spellStart"/>
      <w:r w:rsidRPr="007F18B1">
        <w:t>čtyřúrovňový</w:t>
      </w:r>
      <w:proofErr w:type="spellEnd"/>
      <w:r w:rsidRPr="007F18B1">
        <w:t xml:space="preserve"> model evaluace využitelný pro oblast podnikového vzdělávání, který je brán jako základní nástroj pro realizaci evaluace a je takto využíván dodnes. </w:t>
      </w:r>
      <w:proofErr w:type="spellStart"/>
      <w:r w:rsidRPr="007F18B1">
        <w:t>Kirkpatrick</w:t>
      </w:r>
      <w:proofErr w:type="spellEnd"/>
      <w:r w:rsidRPr="007F18B1">
        <w:t xml:space="preserve"> identifikoval čtyři úrovně evaluace vzdělávacího programu: (1) reakce, (2) učení, (3) chování a (4) výsledky. Každá další úroveň vychází z té předchozí a navazuje na ni, resp. na informace v ní získané. </w:t>
      </w:r>
      <w:r w:rsidRPr="007F18B1">
        <w:rPr>
          <w:sz w:val="23"/>
          <w:szCs w:val="23"/>
        </w:rPr>
        <w:t xml:space="preserve">Tento model nabízí potenciál zpětné vazby využitelný pro úpravu kurzu či vzdělávací akce na několika </w:t>
      </w:r>
      <w:r w:rsidRPr="007F18B1">
        <w:t>úrovních</w:t>
      </w:r>
      <w:r w:rsidRPr="007F18B1">
        <w:rPr>
          <w:sz w:val="23"/>
          <w:szCs w:val="23"/>
        </w:rPr>
        <w:t>. Na úrovni Reakce se ptáme, zda se aktivita účastníkům líbila, na úrovni Učení pak na to, zda se účastníci předávaný obsah naučili. Transferem do praxe je pak úroveň Chování, kde je hlavní otázkou to, zda absolventi znalosti a osvojené dovednosti a návyky opravdu používají v pracovním životě. Poslední úrovní pak zjišťujeme, jaké Výsledky toto chování pro danou</w:t>
      </w:r>
      <w:r>
        <w:rPr>
          <w:sz w:val="23"/>
          <w:szCs w:val="23"/>
        </w:rPr>
        <w:t xml:space="preserve"> organizaci má (</w:t>
      </w:r>
      <w:proofErr w:type="spellStart"/>
      <w:r>
        <w:t>Kirkpatrick</w:t>
      </w:r>
      <w:proofErr w:type="spellEnd"/>
      <w:r>
        <w:t xml:space="preserve"> &amp; </w:t>
      </w:r>
      <w:proofErr w:type="spellStart"/>
      <w:r>
        <w:t>Kirkpatrick</w:t>
      </w:r>
      <w:proofErr w:type="spellEnd"/>
      <w:r>
        <w:t>, 2006</w:t>
      </w:r>
      <w:r w:rsidRPr="007F18B1">
        <w:rPr>
          <w:sz w:val="23"/>
          <w:szCs w:val="23"/>
        </w:rPr>
        <w:t>)</w:t>
      </w:r>
      <w:r>
        <w:rPr>
          <w:sz w:val="23"/>
          <w:szCs w:val="23"/>
        </w:rPr>
        <w:t>.</w:t>
      </w:r>
      <w:r w:rsidRPr="007F18B1">
        <w:rPr>
          <w:sz w:val="23"/>
          <w:szCs w:val="23"/>
        </w:rPr>
        <w:t xml:space="preserve"> </w:t>
      </w:r>
    </w:p>
    <w:p w:rsidR="00703ABC" w:rsidRPr="00703ABC" w:rsidRDefault="00703ABC" w:rsidP="00703ABC">
      <w:pPr>
        <w:spacing w:after="120" w:line="276" w:lineRule="auto"/>
        <w:jc w:val="both"/>
        <w:rPr>
          <w:i/>
          <w:sz w:val="23"/>
          <w:szCs w:val="23"/>
        </w:rPr>
      </w:pPr>
      <w:r>
        <w:rPr>
          <w:i/>
          <w:sz w:val="23"/>
          <w:szCs w:val="23"/>
        </w:rPr>
        <w:t>Na jaké úrovni se většinou pohybujete při evaluování? Jaké informace ztrácíme, když neprovedeme evaluaci na všech výše uvedených úrovních?</w:t>
      </w:r>
    </w:p>
    <w:p w:rsidR="00703ABC" w:rsidRPr="007F18B1" w:rsidRDefault="00703ABC" w:rsidP="00703ABC">
      <w:pPr>
        <w:spacing w:after="120" w:line="276" w:lineRule="auto"/>
        <w:jc w:val="both"/>
      </w:pPr>
      <w:proofErr w:type="spellStart"/>
      <w:r w:rsidRPr="007F18B1">
        <w:rPr>
          <w:sz w:val="23"/>
          <w:szCs w:val="23"/>
        </w:rPr>
        <w:t>Kirkpatrickův</w:t>
      </w:r>
      <w:proofErr w:type="spellEnd"/>
      <w:r w:rsidRPr="007F18B1">
        <w:rPr>
          <w:sz w:val="23"/>
          <w:szCs w:val="23"/>
        </w:rPr>
        <w:t xml:space="preserve"> přístup představuje jasnou návaznost svých kroků. Tyto kroky nejsou pouze kroky evaluace, ale zároveň také následnými kroky v učení či tréninku. V celém </w:t>
      </w:r>
      <w:proofErr w:type="spellStart"/>
      <w:r w:rsidRPr="007F18B1">
        <w:rPr>
          <w:sz w:val="23"/>
          <w:szCs w:val="23"/>
        </w:rPr>
        <w:t>Kirkpatrickově</w:t>
      </w:r>
      <w:proofErr w:type="spellEnd"/>
      <w:r w:rsidRPr="007F18B1">
        <w:rPr>
          <w:sz w:val="23"/>
          <w:szCs w:val="23"/>
        </w:rPr>
        <w:t xml:space="preserve"> modelu tak nenacházíme pouze následnost kroků hodnocení, ale také kroků samotného procesu získávání a využívání znalostí či dovedností. Předávaný obsah na nás nejprve působí, čímž vyvolává určitou Reakci, po jeho následném osvojení v rámci Učení přichází část implementační, kdy naučené obsahy přesouváme do oblasti reálného Chování. Výstupem jsou Výsledky. Těžko si dovedeme představit, že by jakýkoliv z těchto prvků mohl přeskočit krok předchozí – bez Chování (pouze s naučeným obsahem) nejsou Výsledky, k Učení těžko dojde bez pozitivní Reakce, k efektivní změně </w:t>
      </w:r>
      <w:r w:rsidRPr="007F18B1">
        <w:rPr>
          <w:sz w:val="23"/>
          <w:szCs w:val="23"/>
        </w:rPr>
        <w:lastRenderedPageBreak/>
        <w:t xml:space="preserve">Chování však zároveň nedojde pouze (z)působením této Reakce. Tento model je tak možné uchopit nejen z pohledu samotné evaluace, ale zároveň pohledu fází učení či vzdělávání, které výstupy v evaluaci výrazně ovlivňují. Těmto fázím a příčinám, které mohou výstupy ovlivňovat, se blíže věnujeme v dalším textu. </w:t>
      </w:r>
    </w:p>
    <w:p w:rsidR="00703ABC" w:rsidRPr="007F18B1" w:rsidRDefault="00703ABC" w:rsidP="00703ABC">
      <w:pPr>
        <w:spacing w:after="120" w:line="276" w:lineRule="auto"/>
        <w:jc w:val="both"/>
      </w:pPr>
      <w:r w:rsidRPr="007F18B1">
        <w:t xml:space="preserve">Alternativní, stejně populární pětiúrovňový model vytvořil o několik let později A. C. </w:t>
      </w:r>
      <w:proofErr w:type="spellStart"/>
      <w:r w:rsidRPr="007F18B1">
        <w:t>Hamblin</w:t>
      </w:r>
      <w:proofErr w:type="spellEnd"/>
      <w:r w:rsidRPr="007F18B1">
        <w:t xml:space="preserve">. </w:t>
      </w:r>
      <w:proofErr w:type="spellStart"/>
      <w:r w:rsidRPr="007F18B1">
        <w:t>Hamblin</w:t>
      </w:r>
      <w:proofErr w:type="spellEnd"/>
      <w:r w:rsidRPr="007F18B1">
        <w:t xml:space="preserve"> převzal prakticky v nezměněné podobě </w:t>
      </w:r>
      <w:proofErr w:type="spellStart"/>
      <w:r w:rsidRPr="007F18B1">
        <w:t>Kirkpatrickovy</w:t>
      </w:r>
      <w:proofErr w:type="spellEnd"/>
      <w:r w:rsidRPr="007F18B1">
        <w:t xml:space="preserve"> první tři stupně evaluace (reakce, učení, chování), čtvrtý stupeň (výsledky) však rozdělil na dva samostatné: organizace (</w:t>
      </w:r>
      <w:proofErr w:type="spellStart"/>
      <w:r w:rsidRPr="007F18B1">
        <w:rPr>
          <w:i/>
        </w:rPr>
        <w:t>organization</w:t>
      </w:r>
      <w:proofErr w:type="spellEnd"/>
      <w:r w:rsidRPr="007F18B1">
        <w:t>) a konečná hodnota (</w:t>
      </w:r>
      <w:proofErr w:type="spellStart"/>
      <w:r w:rsidRPr="007F18B1">
        <w:rPr>
          <w:i/>
        </w:rPr>
        <w:t>ultimate</w:t>
      </w:r>
      <w:proofErr w:type="spellEnd"/>
      <w:r w:rsidRPr="007F18B1">
        <w:rPr>
          <w:i/>
        </w:rPr>
        <w:t xml:space="preserve"> </w:t>
      </w:r>
      <w:proofErr w:type="spellStart"/>
      <w:r w:rsidRPr="007F18B1">
        <w:rPr>
          <w:i/>
        </w:rPr>
        <w:t>value</w:t>
      </w:r>
      <w:proofErr w:type="spellEnd"/>
      <w:r w:rsidRPr="007F18B1">
        <w:t xml:space="preserve">). </w:t>
      </w:r>
      <w:proofErr w:type="spellStart"/>
      <w:r>
        <w:t>Hamblin</w:t>
      </w:r>
      <w:proofErr w:type="spellEnd"/>
      <w:r>
        <w:t xml:space="preserve"> (1974</w:t>
      </w:r>
      <w:r w:rsidRPr="007F18B1">
        <w:t xml:space="preserve">) se stejně jako </w:t>
      </w:r>
      <w:proofErr w:type="spellStart"/>
      <w:r w:rsidRPr="007F18B1">
        <w:t>Kirkpatrick</w:t>
      </w:r>
      <w:proofErr w:type="spellEnd"/>
      <w:r w:rsidRPr="007F18B1">
        <w:t xml:space="preserve"> domnívá, že tyto úrovně tvoří jakýsi řetěz příčin a následků: vzdělávací kurz vede k reakcím, které vedou k učení, které vede ke změnám v pracovním chování, které vedou ke změnám v organizaci, které vedou ke změnám v dosahování konečných cílů. </w:t>
      </w:r>
    </w:p>
    <w:p w:rsidR="00703ABC" w:rsidRPr="007F18B1" w:rsidRDefault="00703ABC" w:rsidP="00703ABC">
      <w:pPr>
        <w:spacing w:after="120" w:line="276" w:lineRule="auto"/>
        <w:jc w:val="both"/>
      </w:pPr>
      <w:r w:rsidRPr="007F18B1">
        <w:t xml:space="preserve">V 70. letech 20. století Michael </w:t>
      </w:r>
      <w:proofErr w:type="spellStart"/>
      <w:r w:rsidRPr="007F18B1">
        <w:t>Scriven</w:t>
      </w:r>
      <w:proofErr w:type="spellEnd"/>
      <w:r w:rsidRPr="007F18B1">
        <w:t xml:space="preserve"> vytváří nový model evaluace, tzv. evaluaci nevázanou na cíle (</w:t>
      </w:r>
      <w:proofErr w:type="spellStart"/>
      <w:r w:rsidRPr="007F18B1">
        <w:t>goal</w:t>
      </w:r>
      <w:proofErr w:type="spellEnd"/>
      <w:r w:rsidRPr="007F18B1">
        <w:t xml:space="preserve">-free </w:t>
      </w:r>
      <w:proofErr w:type="spellStart"/>
      <w:r w:rsidRPr="007F18B1">
        <w:t>evaluation</w:t>
      </w:r>
      <w:proofErr w:type="spellEnd"/>
      <w:r w:rsidRPr="007F18B1">
        <w:t>), která není vztažena</w:t>
      </w:r>
      <w:r>
        <w:t xml:space="preserve"> k cílům, ale k potřebám (Alkin</w:t>
      </w:r>
      <w:r w:rsidRPr="007F18B1">
        <w:t>, 2004). Nejde tedy už o to, zda byly naplněny cíle programu, ale hodnotí se, do jaké míry se vyšlo vstříc požadavkům účastníků (</w:t>
      </w:r>
      <w:proofErr w:type="spellStart"/>
      <w:r w:rsidRPr="007F18B1">
        <w:t>Hendl</w:t>
      </w:r>
      <w:proofErr w:type="spellEnd"/>
      <w:r w:rsidRPr="007F18B1">
        <w:t>, 2005). Na konci 70. let pak vzniká nový model evaluace zaměřené na uživatele (</w:t>
      </w:r>
      <w:proofErr w:type="spellStart"/>
      <w:r w:rsidRPr="007F18B1">
        <w:t>utilization-focused</w:t>
      </w:r>
      <w:proofErr w:type="spellEnd"/>
      <w:r w:rsidRPr="007F18B1">
        <w:t xml:space="preserve"> </w:t>
      </w:r>
      <w:proofErr w:type="spellStart"/>
      <w:r w:rsidRPr="007F18B1">
        <w:t>evaluation</w:t>
      </w:r>
      <w:proofErr w:type="spellEnd"/>
      <w:r w:rsidRPr="007F18B1">
        <w:t xml:space="preserve">), jejímž autorem je Michael </w:t>
      </w:r>
      <w:proofErr w:type="spellStart"/>
      <w:r w:rsidRPr="007F18B1">
        <w:t>Quinn</w:t>
      </w:r>
      <w:proofErr w:type="spellEnd"/>
      <w:r w:rsidRPr="007F18B1">
        <w:t xml:space="preserve"> Patton. Tento přístup klade důraz na úzkou spolupráci evaluátora s uživateli výsledků evaluace ve všech fázích jejího plánování, realizace i využití jejích výsledků. (</w:t>
      </w:r>
      <w:proofErr w:type="spellStart"/>
      <w:r w:rsidRPr="007F18B1">
        <w:t>Hendl</w:t>
      </w:r>
      <w:proofErr w:type="spellEnd"/>
      <w:r w:rsidRPr="007F18B1">
        <w:t xml:space="preserve">, 2005) </w:t>
      </w:r>
      <w:r>
        <w:t xml:space="preserve">V těže době vzniká také model CIRO, který představuje </w:t>
      </w:r>
      <w:proofErr w:type="spellStart"/>
      <w:r>
        <w:t>Warr</w:t>
      </w:r>
      <w:proofErr w:type="spellEnd"/>
      <w:r>
        <w:t xml:space="preserve"> a kol. Tento model se skládá z úrovní evaluace (1) kontextu (tedy identifikace vzdělávacích a rozvojových potřeb), (2) vstupu (možných zdrojů pro vzdělávání a rozvoj, (3) reakcí (účastníků, ať bezprostředních či s odstupem) a (4) přínosů. Autoři tak přidávají ke </w:t>
      </w:r>
      <w:proofErr w:type="spellStart"/>
      <w:r>
        <w:t>Kirkpatrickově</w:t>
      </w:r>
      <w:proofErr w:type="spellEnd"/>
      <w:r>
        <w:t xml:space="preserve"> modelu úroveň definice toho, co je třeba vzdělávání a rozvojem změnit (1) a svoji </w:t>
      </w:r>
      <w:proofErr w:type="gramStart"/>
      <w:r>
        <w:t>úroveň  přínosů</w:t>
      </w:r>
      <w:proofErr w:type="gramEnd"/>
      <w:r>
        <w:t xml:space="preserve"> (4) rozkládají do úrovní, které </w:t>
      </w:r>
      <w:proofErr w:type="spellStart"/>
      <w:r>
        <w:t>Kirkpatrick</w:t>
      </w:r>
      <w:proofErr w:type="spellEnd"/>
      <w:r>
        <w:t xml:space="preserve"> označuje za Učení, Chování a Výsledky. V terminologii </w:t>
      </w:r>
      <w:proofErr w:type="spellStart"/>
      <w:r>
        <w:t>Warra</w:t>
      </w:r>
      <w:proofErr w:type="spellEnd"/>
      <w:r>
        <w:t xml:space="preserve"> a kol. se jedná o úroveň okamžitého, střednědobého a konečného přínosu vzdělávání a rozvoje (</w:t>
      </w:r>
      <w:proofErr w:type="spellStart"/>
      <w:r>
        <w:t>Sadler</w:t>
      </w:r>
      <w:proofErr w:type="spellEnd"/>
      <w:r>
        <w:t>-Smith, 2006: 398)</w:t>
      </w:r>
    </w:p>
    <w:p w:rsidR="00703ABC" w:rsidRDefault="00703ABC" w:rsidP="00703ABC">
      <w:pPr>
        <w:spacing w:after="120" w:line="276" w:lineRule="auto"/>
        <w:jc w:val="both"/>
      </w:pPr>
      <w:r w:rsidRPr="007F18B1">
        <w:t xml:space="preserve">V 80. letech pak nastává ve srovnání s boomem předchozích dvou desetiletí zdánlivý útlum, od 90. let 20. století se znovu objevuje zvyšující se zájem o oblast evaluace. </w:t>
      </w:r>
      <w:r>
        <w:t xml:space="preserve">Můžeme zde zmínit např. model </w:t>
      </w:r>
      <w:proofErr w:type="spellStart"/>
      <w:r>
        <w:t>Bramleyho</w:t>
      </w:r>
      <w:proofErr w:type="spellEnd"/>
      <w:r>
        <w:t xml:space="preserve">, který zdůrazňuje měření úrovně Chování, které ke klíčovou položkou pro měření před a po vzdělávacím a rozvojovém programu. Jeho přístup se podobá metodice </w:t>
      </w:r>
      <w:proofErr w:type="spellStart"/>
      <w:r>
        <w:t>Balanced</w:t>
      </w:r>
      <w:proofErr w:type="spellEnd"/>
      <w:r>
        <w:t xml:space="preserve"> </w:t>
      </w:r>
      <w:proofErr w:type="spellStart"/>
      <w:r>
        <w:t>Scorecard</w:t>
      </w:r>
      <w:proofErr w:type="spellEnd"/>
      <w:r>
        <w:t>, především proto, že žádoucí chování je stanoveno již ve fázi identifikace vzdělávacích a rozvojových potřeb a tomuto cíli je pak podřízeno stanovení znalostí, schopností a postojů, které k tomuto chování povedou (</w:t>
      </w:r>
      <w:proofErr w:type="spellStart"/>
      <w:r>
        <w:t>Bramley</w:t>
      </w:r>
      <w:proofErr w:type="spellEnd"/>
      <w:r>
        <w:t>, 2003:</w:t>
      </w:r>
      <w:r w:rsidRPr="008637C7">
        <w:t xml:space="preserve"> 38)</w:t>
      </w:r>
      <w:r>
        <w:t xml:space="preserve">. Není pravdou, že by ostatní autoři stáli v opozici k tomuto přístupu – např. </w:t>
      </w:r>
      <w:proofErr w:type="spellStart"/>
      <w:r>
        <w:t>Warr</w:t>
      </w:r>
      <w:proofErr w:type="spellEnd"/>
      <w:r>
        <w:t xml:space="preserve"> a kol. definici cíle zahrnují do své fáze evaluace kontextu – ostatní se však nevěnují procesu rozvoje v tak širokém kontextu, jak to explicitně činí </w:t>
      </w:r>
      <w:proofErr w:type="spellStart"/>
      <w:r>
        <w:t>Branham</w:t>
      </w:r>
      <w:proofErr w:type="spellEnd"/>
      <w:r>
        <w:t>.</w:t>
      </w:r>
    </w:p>
    <w:p w:rsidR="00703ABC" w:rsidRPr="00703ABC" w:rsidRDefault="00703ABC" w:rsidP="00703ABC">
      <w:pPr>
        <w:spacing w:after="120" w:line="276" w:lineRule="auto"/>
        <w:jc w:val="both"/>
        <w:rPr>
          <w:i/>
        </w:rPr>
      </w:pPr>
      <w:r>
        <w:rPr>
          <w:i/>
        </w:rPr>
        <w:t xml:space="preserve">Co je to </w:t>
      </w:r>
      <w:proofErr w:type="spellStart"/>
      <w:r>
        <w:rPr>
          <w:i/>
        </w:rPr>
        <w:t>Balanced</w:t>
      </w:r>
      <w:proofErr w:type="spellEnd"/>
      <w:r>
        <w:rPr>
          <w:i/>
        </w:rPr>
        <w:t xml:space="preserve"> </w:t>
      </w:r>
      <w:proofErr w:type="spellStart"/>
      <w:r>
        <w:rPr>
          <w:i/>
        </w:rPr>
        <w:t>Scorecard</w:t>
      </w:r>
      <w:proofErr w:type="spellEnd"/>
      <w:r>
        <w:rPr>
          <w:i/>
        </w:rPr>
        <w:t xml:space="preserve"> (BSC)? </w:t>
      </w:r>
      <w:r w:rsidRPr="00703ABC">
        <w:rPr>
          <w:i/>
        </w:rPr>
        <w:t xml:space="preserve">Tato metoda, která byla původně vyvinutá jako systém měření výkonnosti, začala být používaná pro vyjasnění, formulování a řízení strategie (srov. Vodák – Kucharčíková, 2007, s. 40). BSC zachycuje krátkodobou výkonnost, reaguje však i na nedostatky pouhého krátkodobého zvyšování této výkonnosti zaměřením na dlouhodobé strategie (např. plánováním investic do vzdělávání zaměstnanců s cílem zvýšení konkurenceschopnosti (srov. Šmída, 2003, s. 63). Metoda </w:t>
      </w:r>
      <w:proofErr w:type="spellStart"/>
      <w:r w:rsidRPr="00703ABC">
        <w:rPr>
          <w:i/>
        </w:rPr>
        <w:t>Balanced</w:t>
      </w:r>
      <w:proofErr w:type="spellEnd"/>
      <w:r w:rsidRPr="00703ABC">
        <w:rPr>
          <w:i/>
        </w:rPr>
        <w:t xml:space="preserve"> </w:t>
      </w:r>
      <w:proofErr w:type="spellStart"/>
      <w:r w:rsidRPr="00703ABC">
        <w:rPr>
          <w:i/>
        </w:rPr>
        <w:t>Scorecard</w:t>
      </w:r>
      <w:proofErr w:type="spellEnd"/>
      <w:r w:rsidRPr="00703ABC">
        <w:rPr>
          <w:i/>
        </w:rPr>
        <w:t xml:space="preserve"> vychází na první pohled z opačného směru, než ze kterého otevřeně vychází většina dalších teorií, tedy z perspektivy Výsledků. Na jeho začátku, podle </w:t>
      </w:r>
      <w:proofErr w:type="spellStart"/>
      <w:r w:rsidRPr="00703ABC">
        <w:rPr>
          <w:i/>
        </w:rPr>
        <w:t>Kirkpatricka</w:t>
      </w:r>
      <w:proofErr w:type="spellEnd"/>
      <w:r w:rsidRPr="00703ABC">
        <w:rPr>
          <w:i/>
        </w:rPr>
        <w:t xml:space="preserve">, stojí stanovení finančních kritérií, která slouží k určení toho, na co se zaměřit v oblasti učení a růstu – výstupy z této části BSC jsou pak vstupy pro oblast interních procesů a zákaznické perspektivy (srov. </w:t>
      </w:r>
      <w:proofErr w:type="spellStart"/>
      <w:r w:rsidRPr="00703ABC">
        <w:rPr>
          <w:i/>
        </w:rPr>
        <w:t>Kirkpatrick</w:t>
      </w:r>
      <w:proofErr w:type="spellEnd"/>
      <w:r w:rsidRPr="00703ABC">
        <w:rPr>
          <w:i/>
        </w:rPr>
        <w:t xml:space="preserve"> – </w:t>
      </w:r>
      <w:proofErr w:type="spellStart"/>
      <w:r w:rsidRPr="00703ABC">
        <w:rPr>
          <w:i/>
        </w:rPr>
        <w:t>Kirkpatrick</w:t>
      </w:r>
      <w:proofErr w:type="spellEnd"/>
      <w:r w:rsidRPr="00703ABC">
        <w:rPr>
          <w:i/>
        </w:rPr>
        <w:t>, 2006, s. 86).</w:t>
      </w:r>
    </w:p>
    <w:p w:rsidR="00703ABC" w:rsidRDefault="00703ABC" w:rsidP="00703ABC">
      <w:pPr>
        <w:spacing w:after="120" w:line="276" w:lineRule="auto"/>
        <w:jc w:val="both"/>
      </w:pPr>
      <w:r>
        <w:lastRenderedPageBreak/>
        <w:t xml:space="preserve">Dalším z modelů je přístup </w:t>
      </w:r>
      <w:proofErr w:type="spellStart"/>
      <w:r>
        <w:t>Phillipse</w:t>
      </w:r>
      <w:proofErr w:type="spellEnd"/>
      <w:r>
        <w:t xml:space="preserve">, který také rozšiřuje některé z původních úrovní </w:t>
      </w:r>
      <w:proofErr w:type="spellStart"/>
      <w:r>
        <w:t>Kirkpatricka</w:t>
      </w:r>
      <w:proofErr w:type="spellEnd"/>
      <w:r>
        <w:t xml:space="preserve">. Z našeho pohledu vnímáme jako významné doplnění úrovně Reakce o tzv. </w:t>
      </w:r>
      <w:proofErr w:type="spellStart"/>
      <w:r>
        <w:t>planned</w:t>
      </w:r>
      <w:proofErr w:type="spellEnd"/>
      <w:r>
        <w:t xml:space="preserve"> </w:t>
      </w:r>
      <w:proofErr w:type="spellStart"/>
      <w:r>
        <w:t>action</w:t>
      </w:r>
      <w:proofErr w:type="spellEnd"/>
      <w:r>
        <w:t>, která popisuje předpokládané využití získaných obsahů a rozvinutých schopností (</w:t>
      </w:r>
      <w:proofErr w:type="spellStart"/>
      <w:r>
        <w:t>Phillips</w:t>
      </w:r>
      <w:proofErr w:type="spellEnd"/>
      <w:r>
        <w:t xml:space="preserve">, 2003: 34). Afektivní složka evaluace je tak doplněna o kalkulaci přínosnosti, která doplňuje afektivní složku úrovně Reakce o složku racionální. V této doplněné úrovni tak nezáleží pouze na pocitech libosti/nelibosti, ale také na přínosnosti vzdělávání a rozvoje. </w:t>
      </w:r>
      <w:proofErr w:type="spellStart"/>
      <w:r>
        <w:t>Phillips</w:t>
      </w:r>
      <w:proofErr w:type="spellEnd"/>
      <w:r>
        <w:t xml:space="preserve"> také rozdvojuje úroveň Výsledků na Business </w:t>
      </w:r>
      <w:proofErr w:type="spellStart"/>
      <w:r>
        <w:t>Impact</w:t>
      </w:r>
      <w:proofErr w:type="spellEnd"/>
      <w:r>
        <w:t xml:space="preserve"> a Return on </w:t>
      </w:r>
      <w:proofErr w:type="spellStart"/>
      <w:r>
        <w:t>Investment</w:t>
      </w:r>
      <w:proofErr w:type="spellEnd"/>
      <w:r>
        <w:t xml:space="preserve"> (</w:t>
      </w:r>
      <w:proofErr w:type="spellStart"/>
      <w:r>
        <w:t>Phillips</w:t>
      </w:r>
      <w:proofErr w:type="spellEnd"/>
      <w:r>
        <w:t>, 2003: 12).</w:t>
      </w:r>
    </w:p>
    <w:p w:rsidR="00703ABC" w:rsidRPr="007F18B1" w:rsidRDefault="00703ABC" w:rsidP="00703ABC">
      <w:pPr>
        <w:spacing w:after="120" w:line="276" w:lineRule="auto"/>
        <w:jc w:val="both"/>
      </w:pPr>
      <w:r w:rsidRPr="007F18B1">
        <w:t xml:space="preserve">Poměrně uceleně shrnul klíčové modely a teorie evaluace Eugene </w:t>
      </w:r>
      <w:proofErr w:type="spellStart"/>
      <w:r w:rsidRPr="007F18B1">
        <w:t>Sadler</w:t>
      </w:r>
      <w:proofErr w:type="spellEnd"/>
      <w:r w:rsidRPr="007F18B1">
        <w:t xml:space="preserve">-Smith (2006). Jeho shrnutí níže představíme a na základě něho se pokusíme nastínit možnosti aplikace výsledného modelu na oblast dalšího profesního vzdělávání. </w:t>
      </w:r>
    </w:p>
    <w:p w:rsidR="00703ABC" w:rsidRPr="007F18B1" w:rsidRDefault="00703ABC" w:rsidP="00703ABC">
      <w:pPr>
        <w:spacing w:after="120" w:line="276" w:lineRule="auto"/>
        <w:jc w:val="both"/>
      </w:pPr>
      <w:r w:rsidRPr="007F18B1">
        <w:t>Tabulka 1</w:t>
      </w:r>
      <w:r w:rsidRPr="007F18B1">
        <w:tab/>
        <w:t>Taxonomie evaluačních kroků (</w:t>
      </w:r>
      <w:proofErr w:type="spellStart"/>
      <w:r w:rsidRPr="007F18B1">
        <w:t>Sadler</w:t>
      </w:r>
      <w:proofErr w:type="spellEnd"/>
      <w:r w:rsidRPr="007F18B1">
        <w:t>-Smith, 2006)</w:t>
      </w:r>
    </w:p>
    <w:tbl>
      <w:tblPr>
        <w:tblStyle w:val="Mkatabulky"/>
        <w:tblW w:w="9062" w:type="dxa"/>
        <w:tblInd w:w="40" w:type="dxa"/>
        <w:tblLook w:val="04A0" w:firstRow="1" w:lastRow="0" w:firstColumn="1" w:lastColumn="0" w:noHBand="0" w:noVBand="1"/>
      </w:tblPr>
      <w:tblGrid>
        <w:gridCol w:w="1636"/>
        <w:gridCol w:w="1138"/>
        <w:gridCol w:w="1138"/>
        <w:gridCol w:w="1280"/>
        <w:gridCol w:w="1138"/>
        <w:gridCol w:w="1422"/>
        <w:gridCol w:w="1310"/>
      </w:tblGrid>
      <w:tr w:rsidR="00703ABC" w:rsidRPr="007F18B1" w:rsidTr="00E63645">
        <w:tc>
          <w:tcPr>
            <w:tcW w:w="1661" w:type="dxa"/>
            <w:tcBorders>
              <w:top w:val="nil"/>
              <w:left w:val="nil"/>
              <w:bottom w:val="dotted" w:sz="4" w:space="0" w:color="auto"/>
              <w:right w:val="single" w:sz="4" w:space="0" w:color="auto"/>
            </w:tcBorders>
            <w:tcMar>
              <w:left w:w="57" w:type="dxa"/>
              <w:right w:w="57" w:type="dxa"/>
            </w:tcMar>
          </w:tcPr>
          <w:p w:rsidR="00703ABC" w:rsidRPr="007F18B1" w:rsidRDefault="00703ABC" w:rsidP="00E63645">
            <w:pPr>
              <w:spacing w:before="60" w:after="60" w:line="276" w:lineRule="auto"/>
              <w:jc w:val="both"/>
            </w:pPr>
          </w:p>
        </w:tc>
        <w:tc>
          <w:tcPr>
            <w:tcW w:w="1139" w:type="dxa"/>
            <w:tcBorders>
              <w:left w:val="single" w:sz="4" w:space="0" w:color="auto"/>
              <w:bottom w:val="single" w:sz="4" w:space="0" w:color="auto"/>
            </w:tcBorders>
            <w:tcMar>
              <w:left w:w="57" w:type="dxa"/>
              <w:right w:w="57" w:type="dxa"/>
            </w:tcMar>
            <w:vAlign w:val="center"/>
          </w:tcPr>
          <w:p w:rsidR="00703ABC" w:rsidRPr="007F18B1" w:rsidRDefault="00703ABC" w:rsidP="00E63645">
            <w:pPr>
              <w:spacing w:before="60" w:after="60" w:line="276" w:lineRule="auto"/>
              <w:jc w:val="center"/>
              <w:rPr>
                <w:b/>
              </w:rPr>
            </w:pPr>
            <w:proofErr w:type="spellStart"/>
            <w:r w:rsidRPr="007F18B1">
              <w:rPr>
                <w:b/>
              </w:rPr>
              <w:t>Kirkpatrick</w:t>
            </w:r>
            <w:proofErr w:type="spellEnd"/>
            <w:r w:rsidRPr="007F18B1">
              <w:rPr>
                <w:b/>
              </w:rPr>
              <w:t xml:space="preserve"> </w:t>
            </w:r>
            <w:r w:rsidRPr="007F18B1">
              <w:rPr>
                <w:b/>
              </w:rPr>
              <w:br/>
              <w:t>(1967)</w:t>
            </w:r>
          </w:p>
        </w:tc>
        <w:tc>
          <w:tcPr>
            <w:tcW w:w="1139" w:type="dxa"/>
            <w:tcBorders>
              <w:bottom w:val="single" w:sz="4" w:space="0" w:color="auto"/>
            </w:tcBorders>
            <w:tcMar>
              <w:left w:w="57" w:type="dxa"/>
              <w:right w:w="57" w:type="dxa"/>
            </w:tcMar>
            <w:vAlign w:val="center"/>
          </w:tcPr>
          <w:p w:rsidR="00703ABC" w:rsidRPr="007F18B1" w:rsidRDefault="00703ABC" w:rsidP="00E63645">
            <w:pPr>
              <w:spacing w:before="60" w:after="60" w:line="276" w:lineRule="auto"/>
              <w:jc w:val="center"/>
              <w:rPr>
                <w:b/>
              </w:rPr>
            </w:pPr>
            <w:proofErr w:type="spellStart"/>
            <w:r w:rsidRPr="007F18B1">
              <w:rPr>
                <w:b/>
              </w:rPr>
              <w:t>Hamblin</w:t>
            </w:r>
            <w:proofErr w:type="spellEnd"/>
            <w:r w:rsidRPr="007F18B1">
              <w:rPr>
                <w:b/>
              </w:rPr>
              <w:t xml:space="preserve"> (1968)</w:t>
            </w:r>
          </w:p>
        </w:tc>
        <w:tc>
          <w:tcPr>
            <w:tcW w:w="1281" w:type="dxa"/>
            <w:tcMar>
              <w:left w:w="57" w:type="dxa"/>
              <w:right w:w="57" w:type="dxa"/>
            </w:tcMar>
            <w:vAlign w:val="center"/>
          </w:tcPr>
          <w:p w:rsidR="00703ABC" w:rsidRPr="007F18B1" w:rsidRDefault="00703ABC" w:rsidP="00E63645">
            <w:pPr>
              <w:spacing w:before="60" w:after="60" w:line="276" w:lineRule="auto"/>
              <w:jc w:val="center"/>
              <w:rPr>
                <w:b/>
              </w:rPr>
            </w:pPr>
            <w:proofErr w:type="spellStart"/>
            <w:r w:rsidRPr="007F18B1">
              <w:rPr>
                <w:b/>
              </w:rPr>
              <w:t>Warr</w:t>
            </w:r>
            <w:proofErr w:type="spellEnd"/>
            <w:r w:rsidRPr="007F18B1">
              <w:rPr>
                <w:b/>
              </w:rPr>
              <w:t xml:space="preserve">, </w:t>
            </w:r>
            <w:proofErr w:type="spellStart"/>
            <w:r w:rsidRPr="007F18B1">
              <w:rPr>
                <w:b/>
              </w:rPr>
              <w:t>Bird</w:t>
            </w:r>
            <w:proofErr w:type="spellEnd"/>
            <w:r w:rsidRPr="007F18B1">
              <w:rPr>
                <w:b/>
              </w:rPr>
              <w:t xml:space="preserve"> a </w:t>
            </w:r>
            <w:proofErr w:type="spellStart"/>
            <w:r w:rsidRPr="007F18B1">
              <w:rPr>
                <w:b/>
              </w:rPr>
              <w:t>Rackham</w:t>
            </w:r>
            <w:proofErr w:type="spellEnd"/>
            <w:r w:rsidRPr="007F18B1">
              <w:rPr>
                <w:b/>
              </w:rPr>
              <w:t xml:space="preserve"> (1970)</w:t>
            </w:r>
          </w:p>
        </w:tc>
        <w:tc>
          <w:tcPr>
            <w:tcW w:w="1139" w:type="dxa"/>
            <w:tcBorders>
              <w:bottom w:val="single" w:sz="4" w:space="0" w:color="auto"/>
            </w:tcBorders>
            <w:tcMar>
              <w:left w:w="57" w:type="dxa"/>
              <w:right w:w="57" w:type="dxa"/>
            </w:tcMar>
            <w:vAlign w:val="center"/>
          </w:tcPr>
          <w:p w:rsidR="00703ABC" w:rsidRPr="007F18B1" w:rsidRDefault="00703ABC" w:rsidP="00E63645">
            <w:pPr>
              <w:spacing w:before="60" w:after="60" w:line="276" w:lineRule="auto"/>
              <w:jc w:val="center"/>
              <w:rPr>
                <w:b/>
              </w:rPr>
            </w:pPr>
            <w:proofErr w:type="spellStart"/>
            <w:r w:rsidRPr="007F18B1">
              <w:rPr>
                <w:b/>
              </w:rPr>
              <w:t>Bramley</w:t>
            </w:r>
            <w:proofErr w:type="spellEnd"/>
            <w:r w:rsidRPr="007F18B1">
              <w:rPr>
                <w:b/>
              </w:rPr>
              <w:t xml:space="preserve"> (1991)</w:t>
            </w:r>
          </w:p>
        </w:tc>
        <w:tc>
          <w:tcPr>
            <w:tcW w:w="1423" w:type="dxa"/>
            <w:tcBorders>
              <w:bottom w:val="single" w:sz="4" w:space="0" w:color="auto"/>
            </w:tcBorders>
            <w:tcMar>
              <w:left w:w="57" w:type="dxa"/>
              <w:right w:w="57" w:type="dxa"/>
            </w:tcMar>
            <w:vAlign w:val="center"/>
          </w:tcPr>
          <w:p w:rsidR="00703ABC" w:rsidRPr="007F18B1" w:rsidRDefault="00703ABC" w:rsidP="00E63645">
            <w:pPr>
              <w:spacing w:before="60" w:after="60" w:line="276" w:lineRule="auto"/>
              <w:jc w:val="center"/>
              <w:rPr>
                <w:b/>
              </w:rPr>
            </w:pPr>
            <w:proofErr w:type="spellStart"/>
            <w:r w:rsidRPr="007F18B1">
              <w:rPr>
                <w:b/>
              </w:rPr>
              <w:t>Phillips</w:t>
            </w:r>
            <w:proofErr w:type="spellEnd"/>
            <w:r w:rsidRPr="007F18B1">
              <w:rPr>
                <w:b/>
              </w:rPr>
              <w:t xml:space="preserve"> </w:t>
            </w:r>
            <w:r w:rsidRPr="007F18B1">
              <w:rPr>
                <w:b/>
              </w:rPr>
              <w:br/>
              <w:t>(1996)</w:t>
            </w:r>
          </w:p>
        </w:tc>
        <w:tc>
          <w:tcPr>
            <w:tcW w:w="1280" w:type="dxa"/>
            <w:shd w:val="clear" w:color="auto" w:fill="E7E6E6" w:themeFill="background2"/>
            <w:tcMar>
              <w:left w:w="57" w:type="dxa"/>
              <w:right w:w="57" w:type="dxa"/>
            </w:tcMar>
            <w:vAlign w:val="center"/>
          </w:tcPr>
          <w:p w:rsidR="00703ABC" w:rsidRPr="007F18B1" w:rsidRDefault="00703ABC" w:rsidP="00E63645">
            <w:pPr>
              <w:spacing w:before="60" w:after="60" w:line="276" w:lineRule="auto"/>
              <w:jc w:val="center"/>
              <w:rPr>
                <w:b/>
              </w:rPr>
            </w:pPr>
            <w:r w:rsidRPr="007F18B1">
              <w:rPr>
                <w:b/>
              </w:rPr>
              <w:t>Souhrn</w:t>
            </w:r>
          </w:p>
        </w:tc>
      </w:tr>
      <w:tr w:rsidR="00703ABC" w:rsidRPr="007F18B1" w:rsidTr="00E63645">
        <w:trPr>
          <w:trHeight w:val="472"/>
        </w:trPr>
        <w:tc>
          <w:tcPr>
            <w:tcW w:w="1661" w:type="dxa"/>
            <w:vMerge w:val="restart"/>
            <w:tcBorders>
              <w:top w:val="dotted" w:sz="4" w:space="0" w:color="auto"/>
              <w:left w:val="dotted" w:sz="4" w:space="0" w:color="auto"/>
              <w:bottom w:val="single" w:sz="4" w:space="0" w:color="auto"/>
              <w:right w:val="dotted" w:sz="4" w:space="0" w:color="auto"/>
            </w:tcBorders>
            <w:tcMar>
              <w:left w:w="57" w:type="dxa"/>
              <w:right w:w="57" w:type="dxa"/>
            </w:tcMar>
            <w:vAlign w:val="center"/>
          </w:tcPr>
          <w:p w:rsidR="00703ABC" w:rsidRPr="007F18B1" w:rsidRDefault="00703ABC" w:rsidP="00E63645">
            <w:pPr>
              <w:spacing w:before="60" w:after="60" w:line="276" w:lineRule="auto"/>
              <w:rPr>
                <w:i/>
              </w:rPr>
            </w:pPr>
            <w:r w:rsidRPr="007F18B1">
              <w:rPr>
                <w:i/>
              </w:rPr>
              <w:t>Před začátkem vzdělávací akce</w:t>
            </w:r>
          </w:p>
        </w:tc>
        <w:tc>
          <w:tcPr>
            <w:tcW w:w="1139" w:type="dxa"/>
            <w:tcBorders>
              <w:left w:val="dotted" w:sz="4" w:space="0" w:color="auto"/>
              <w:bottom w:val="nil"/>
              <w:right w:val="dotted" w:sz="4" w:space="0" w:color="auto"/>
            </w:tcBorders>
            <w:tcMar>
              <w:left w:w="57" w:type="dxa"/>
              <w:right w:w="57" w:type="dxa"/>
            </w:tcMar>
            <w:vAlign w:val="center"/>
          </w:tcPr>
          <w:p w:rsidR="00703ABC" w:rsidRPr="007F18B1" w:rsidRDefault="00703ABC" w:rsidP="00E63645">
            <w:pPr>
              <w:spacing w:before="60" w:after="60" w:line="276" w:lineRule="auto"/>
            </w:pPr>
          </w:p>
        </w:tc>
        <w:tc>
          <w:tcPr>
            <w:tcW w:w="1139" w:type="dxa"/>
            <w:tcBorders>
              <w:left w:val="dotted" w:sz="4" w:space="0" w:color="auto"/>
              <w:bottom w:val="nil"/>
            </w:tcBorders>
            <w:tcMar>
              <w:left w:w="57" w:type="dxa"/>
              <w:right w:w="57" w:type="dxa"/>
            </w:tcMar>
            <w:vAlign w:val="center"/>
          </w:tcPr>
          <w:p w:rsidR="00703ABC" w:rsidRPr="007F18B1" w:rsidRDefault="00703ABC" w:rsidP="00E63645">
            <w:pPr>
              <w:spacing w:before="60" w:after="60" w:line="276" w:lineRule="auto"/>
            </w:pPr>
          </w:p>
        </w:tc>
        <w:tc>
          <w:tcPr>
            <w:tcW w:w="1281" w:type="dxa"/>
            <w:tcMar>
              <w:left w:w="57" w:type="dxa"/>
              <w:right w:w="57" w:type="dxa"/>
            </w:tcMar>
            <w:vAlign w:val="center"/>
          </w:tcPr>
          <w:p w:rsidR="00703ABC" w:rsidRPr="007F18B1" w:rsidRDefault="00703ABC" w:rsidP="00E63645">
            <w:pPr>
              <w:spacing w:before="60" w:after="60" w:line="276" w:lineRule="auto"/>
            </w:pPr>
            <w:r w:rsidRPr="007F18B1">
              <w:t>Kontext</w:t>
            </w:r>
          </w:p>
        </w:tc>
        <w:tc>
          <w:tcPr>
            <w:tcW w:w="1139" w:type="dxa"/>
            <w:tcBorders>
              <w:bottom w:val="nil"/>
              <w:right w:val="dotted" w:sz="4" w:space="0" w:color="auto"/>
            </w:tcBorders>
            <w:tcMar>
              <w:left w:w="57" w:type="dxa"/>
              <w:right w:w="57" w:type="dxa"/>
            </w:tcMar>
            <w:vAlign w:val="center"/>
          </w:tcPr>
          <w:p w:rsidR="00703ABC" w:rsidRPr="007F18B1" w:rsidRDefault="00703ABC" w:rsidP="00E63645">
            <w:pPr>
              <w:spacing w:before="60" w:after="60" w:line="276" w:lineRule="auto"/>
            </w:pPr>
          </w:p>
        </w:tc>
        <w:tc>
          <w:tcPr>
            <w:tcW w:w="1423" w:type="dxa"/>
            <w:tcBorders>
              <w:left w:val="dotted" w:sz="4" w:space="0" w:color="auto"/>
              <w:bottom w:val="nil"/>
            </w:tcBorders>
            <w:tcMar>
              <w:left w:w="57" w:type="dxa"/>
              <w:right w:w="57" w:type="dxa"/>
            </w:tcMar>
            <w:vAlign w:val="center"/>
          </w:tcPr>
          <w:p w:rsidR="00703ABC" w:rsidRPr="007F18B1" w:rsidRDefault="00703ABC" w:rsidP="00E63645">
            <w:pPr>
              <w:spacing w:before="60" w:after="60" w:line="276" w:lineRule="auto"/>
            </w:pPr>
          </w:p>
        </w:tc>
        <w:tc>
          <w:tcPr>
            <w:tcW w:w="1280" w:type="dxa"/>
            <w:shd w:val="clear" w:color="auto" w:fill="E7E6E6" w:themeFill="background2"/>
            <w:tcMar>
              <w:left w:w="57" w:type="dxa"/>
              <w:right w:w="57" w:type="dxa"/>
            </w:tcMar>
            <w:vAlign w:val="center"/>
          </w:tcPr>
          <w:p w:rsidR="00703ABC" w:rsidRPr="007F18B1" w:rsidRDefault="00703ABC" w:rsidP="00E63645">
            <w:pPr>
              <w:spacing w:before="60" w:after="60" w:line="276" w:lineRule="auto"/>
              <w:rPr>
                <w:b/>
              </w:rPr>
            </w:pPr>
            <w:r w:rsidRPr="007F18B1">
              <w:rPr>
                <w:b/>
              </w:rPr>
              <w:t>Kontext</w:t>
            </w:r>
          </w:p>
        </w:tc>
      </w:tr>
      <w:tr w:rsidR="00703ABC" w:rsidRPr="007F18B1" w:rsidTr="00E63645">
        <w:tc>
          <w:tcPr>
            <w:tcW w:w="1661" w:type="dxa"/>
            <w:vMerge/>
            <w:tcBorders>
              <w:top w:val="single" w:sz="4" w:space="0" w:color="auto"/>
              <w:left w:val="dotted" w:sz="4" w:space="0" w:color="auto"/>
              <w:bottom w:val="dotted" w:sz="4" w:space="0" w:color="auto"/>
              <w:right w:val="dotted" w:sz="4" w:space="0" w:color="auto"/>
            </w:tcBorders>
            <w:tcMar>
              <w:left w:w="57" w:type="dxa"/>
              <w:right w:w="57" w:type="dxa"/>
            </w:tcMar>
            <w:vAlign w:val="center"/>
          </w:tcPr>
          <w:p w:rsidR="00703ABC" w:rsidRPr="007F18B1" w:rsidRDefault="00703ABC" w:rsidP="00E63645">
            <w:pPr>
              <w:spacing w:before="60" w:after="60" w:line="276" w:lineRule="auto"/>
              <w:rPr>
                <w:i/>
              </w:rPr>
            </w:pPr>
          </w:p>
        </w:tc>
        <w:tc>
          <w:tcPr>
            <w:tcW w:w="1139" w:type="dxa"/>
            <w:tcBorders>
              <w:top w:val="nil"/>
              <w:left w:val="dotted" w:sz="4" w:space="0" w:color="auto"/>
              <w:right w:val="dotted" w:sz="4" w:space="0" w:color="auto"/>
            </w:tcBorders>
            <w:tcMar>
              <w:left w:w="57" w:type="dxa"/>
              <w:right w:w="57" w:type="dxa"/>
            </w:tcMar>
            <w:vAlign w:val="center"/>
          </w:tcPr>
          <w:p w:rsidR="00703ABC" w:rsidRPr="007F18B1" w:rsidRDefault="00703ABC" w:rsidP="00E63645">
            <w:pPr>
              <w:spacing w:before="60" w:after="60" w:line="276" w:lineRule="auto"/>
            </w:pPr>
          </w:p>
        </w:tc>
        <w:tc>
          <w:tcPr>
            <w:tcW w:w="1139" w:type="dxa"/>
            <w:tcBorders>
              <w:top w:val="nil"/>
              <w:left w:val="dotted" w:sz="4" w:space="0" w:color="auto"/>
            </w:tcBorders>
            <w:tcMar>
              <w:left w:w="57" w:type="dxa"/>
              <w:right w:w="57" w:type="dxa"/>
            </w:tcMar>
            <w:vAlign w:val="center"/>
          </w:tcPr>
          <w:p w:rsidR="00703ABC" w:rsidRPr="007F18B1" w:rsidRDefault="00703ABC" w:rsidP="00E63645">
            <w:pPr>
              <w:spacing w:before="60" w:after="60" w:line="276" w:lineRule="auto"/>
            </w:pPr>
          </w:p>
        </w:tc>
        <w:tc>
          <w:tcPr>
            <w:tcW w:w="1281" w:type="dxa"/>
            <w:tcMar>
              <w:left w:w="57" w:type="dxa"/>
              <w:right w:w="57" w:type="dxa"/>
            </w:tcMar>
            <w:vAlign w:val="center"/>
          </w:tcPr>
          <w:p w:rsidR="00703ABC" w:rsidRPr="007F18B1" w:rsidRDefault="00703ABC" w:rsidP="00E63645">
            <w:pPr>
              <w:spacing w:before="60" w:after="60" w:line="276" w:lineRule="auto"/>
            </w:pPr>
            <w:r w:rsidRPr="007F18B1">
              <w:t>Vstup</w:t>
            </w:r>
          </w:p>
        </w:tc>
        <w:tc>
          <w:tcPr>
            <w:tcW w:w="1139" w:type="dxa"/>
            <w:tcBorders>
              <w:top w:val="nil"/>
              <w:bottom w:val="nil"/>
              <w:right w:val="dotted" w:sz="4" w:space="0" w:color="auto"/>
            </w:tcBorders>
            <w:tcMar>
              <w:left w:w="57" w:type="dxa"/>
              <w:right w:w="57" w:type="dxa"/>
            </w:tcMar>
            <w:vAlign w:val="center"/>
          </w:tcPr>
          <w:p w:rsidR="00703ABC" w:rsidRPr="007F18B1" w:rsidRDefault="00703ABC" w:rsidP="00E63645">
            <w:pPr>
              <w:spacing w:before="60" w:after="60" w:line="276" w:lineRule="auto"/>
            </w:pPr>
          </w:p>
        </w:tc>
        <w:tc>
          <w:tcPr>
            <w:tcW w:w="1423" w:type="dxa"/>
            <w:tcBorders>
              <w:top w:val="nil"/>
              <w:left w:val="dotted" w:sz="4" w:space="0" w:color="auto"/>
              <w:bottom w:val="single" w:sz="4" w:space="0" w:color="auto"/>
            </w:tcBorders>
            <w:tcMar>
              <w:left w:w="57" w:type="dxa"/>
              <w:right w:w="57" w:type="dxa"/>
            </w:tcMar>
            <w:vAlign w:val="center"/>
          </w:tcPr>
          <w:p w:rsidR="00703ABC" w:rsidRPr="007F18B1" w:rsidRDefault="00703ABC" w:rsidP="00E63645">
            <w:pPr>
              <w:spacing w:before="60" w:after="60" w:line="276" w:lineRule="auto"/>
            </w:pPr>
          </w:p>
        </w:tc>
        <w:tc>
          <w:tcPr>
            <w:tcW w:w="1280" w:type="dxa"/>
            <w:shd w:val="clear" w:color="auto" w:fill="E7E6E6" w:themeFill="background2"/>
            <w:tcMar>
              <w:left w:w="57" w:type="dxa"/>
              <w:right w:w="57" w:type="dxa"/>
            </w:tcMar>
            <w:vAlign w:val="center"/>
          </w:tcPr>
          <w:p w:rsidR="00703ABC" w:rsidRPr="007F18B1" w:rsidRDefault="00703ABC" w:rsidP="00E63645">
            <w:pPr>
              <w:spacing w:before="60" w:after="60" w:line="276" w:lineRule="auto"/>
              <w:rPr>
                <w:b/>
              </w:rPr>
            </w:pPr>
            <w:r w:rsidRPr="007F18B1">
              <w:rPr>
                <w:b/>
              </w:rPr>
              <w:t>Vstup</w:t>
            </w:r>
          </w:p>
        </w:tc>
      </w:tr>
      <w:tr w:rsidR="00703ABC" w:rsidRPr="007F18B1" w:rsidTr="00E63645">
        <w:tc>
          <w:tcPr>
            <w:tcW w:w="1661" w:type="dxa"/>
            <w:vMerge w:val="restart"/>
            <w:tcBorders>
              <w:top w:val="dotted" w:sz="4" w:space="0" w:color="auto"/>
              <w:left w:val="dotted" w:sz="4" w:space="0" w:color="auto"/>
              <w:bottom w:val="dotted" w:sz="4" w:space="0" w:color="auto"/>
              <w:right w:val="single" w:sz="4" w:space="0" w:color="auto"/>
            </w:tcBorders>
            <w:tcMar>
              <w:left w:w="57" w:type="dxa"/>
              <w:right w:w="57" w:type="dxa"/>
            </w:tcMar>
            <w:vAlign w:val="center"/>
          </w:tcPr>
          <w:p w:rsidR="00703ABC" w:rsidRPr="007F18B1" w:rsidRDefault="00703ABC" w:rsidP="00E63645">
            <w:pPr>
              <w:spacing w:before="60" w:after="60" w:line="276" w:lineRule="auto"/>
              <w:rPr>
                <w:i/>
              </w:rPr>
            </w:pPr>
            <w:r w:rsidRPr="007F18B1">
              <w:rPr>
                <w:i/>
              </w:rPr>
              <w:t xml:space="preserve">V průběhu </w:t>
            </w:r>
            <w:r w:rsidRPr="007F18B1">
              <w:rPr>
                <w:i/>
              </w:rPr>
              <w:br/>
              <w:t>a na konci vzdělávací akce</w:t>
            </w:r>
          </w:p>
        </w:tc>
        <w:tc>
          <w:tcPr>
            <w:tcW w:w="1139" w:type="dxa"/>
            <w:vMerge w:val="restart"/>
            <w:tcBorders>
              <w:left w:val="single" w:sz="4" w:space="0" w:color="auto"/>
            </w:tcBorders>
            <w:tcMar>
              <w:left w:w="57" w:type="dxa"/>
              <w:right w:w="57" w:type="dxa"/>
            </w:tcMar>
            <w:vAlign w:val="center"/>
          </w:tcPr>
          <w:p w:rsidR="00703ABC" w:rsidRPr="007F18B1" w:rsidRDefault="00703ABC" w:rsidP="00E63645">
            <w:pPr>
              <w:spacing w:before="60" w:after="60" w:line="276" w:lineRule="auto"/>
            </w:pPr>
            <w:r w:rsidRPr="007F18B1">
              <w:t>Reakce</w:t>
            </w:r>
          </w:p>
        </w:tc>
        <w:tc>
          <w:tcPr>
            <w:tcW w:w="1139" w:type="dxa"/>
            <w:vMerge w:val="restart"/>
            <w:tcMar>
              <w:left w:w="57" w:type="dxa"/>
              <w:right w:w="57" w:type="dxa"/>
            </w:tcMar>
            <w:vAlign w:val="center"/>
          </w:tcPr>
          <w:p w:rsidR="00703ABC" w:rsidRPr="007F18B1" w:rsidRDefault="00703ABC" w:rsidP="00E63645">
            <w:pPr>
              <w:spacing w:before="60" w:after="60" w:line="276" w:lineRule="auto"/>
            </w:pPr>
            <w:r w:rsidRPr="007F18B1">
              <w:t>Reakce</w:t>
            </w:r>
          </w:p>
        </w:tc>
        <w:tc>
          <w:tcPr>
            <w:tcW w:w="1281" w:type="dxa"/>
            <w:vMerge w:val="restart"/>
            <w:tcMar>
              <w:left w:w="57" w:type="dxa"/>
              <w:right w:w="57" w:type="dxa"/>
            </w:tcMar>
            <w:vAlign w:val="center"/>
          </w:tcPr>
          <w:p w:rsidR="00703ABC" w:rsidRPr="007F18B1" w:rsidRDefault="00703ABC" w:rsidP="00E63645">
            <w:pPr>
              <w:spacing w:before="60" w:after="60" w:line="276" w:lineRule="auto"/>
            </w:pPr>
            <w:r w:rsidRPr="007F18B1">
              <w:t>Reakce</w:t>
            </w:r>
          </w:p>
        </w:tc>
        <w:tc>
          <w:tcPr>
            <w:tcW w:w="1139" w:type="dxa"/>
            <w:tcBorders>
              <w:top w:val="nil"/>
              <w:bottom w:val="nil"/>
              <w:right w:val="single" w:sz="4" w:space="0" w:color="auto"/>
            </w:tcBorders>
            <w:tcMar>
              <w:left w:w="57" w:type="dxa"/>
              <w:right w:w="57" w:type="dxa"/>
            </w:tcMar>
            <w:vAlign w:val="center"/>
          </w:tcPr>
          <w:p w:rsidR="00703ABC" w:rsidRPr="007F18B1" w:rsidRDefault="00703ABC" w:rsidP="00E63645">
            <w:pPr>
              <w:spacing w:before="60" w:after="60" w:line="276" w:lineRule="auto"/>
            </w:pPr>
          </w:p>
        </w:tc>
        <w:tc>
          <w:tcPr>
            <w:tcW w:w="1423" w:type="dxa"/>
            <w:vMerge w:val="restart"/>
            <w:tcBorders>
              <w:left w:val="single" w:sz="4" w:space="0" w:color="auto"/>
            </w:tcBorders>
            <w:tcMar>
              <w:left w:w="57" w:type="dxa"/>
              <w:right w:w="57" w:type="dxa"/>
            </w:tcMar>
            <w:vAlign w:val="center"/>
          </w:tcPr>
          <w:p w:rsidR="00703ABC" w:rsidRPr="007F18B1" w:rsidRDefault="00703ABC" w:rsidP="00E63645">
            <w:pPr>
              <w:spacing w:before="60" w:after="60" w:line="276" w:lineRule="auto"/>
            </w:pPr>
            <w:r w:rsidRPr="007F18B1">
              <w:t>Reakce a plán implementace</w:t>
            </w:r>
          </w:p>
        </w:tc>
        <w:tc>
          <w:tcPr>
            <w:tcW w:w="1280" w:type="dxa"/>
            <w:shd w:val="clear" w:color="auto" w:fill="E7E6E6" w:themeFill="background2"/>
            <w:tcMar>
              <w:left w:w="57" w:type="dxa"/>
              <w:right w:w="57" w:type="dxa"/>
            </w:tcMar>
            <w:vAlign w:val="center"/>
          </w:tcPr>
          <w:p w:rsidR="00703ABC" w:rsidRPr="007F18B1" w:rsidRDefault="00703ABC" w:rsidP="00E63645">
            <w:pPr>
              <w:spacing w:before="60" w:after="60" w:line="276" w:lineRule="auto"/>
              <w:rPr>
                <w:b/>
              </w:rPr>
            </w:pPr>
            <w:r w:rsidRPr="007F18B1">
              <w:rPr>
                <w:b/>
              </w:rPr>
              <w:t>Anticipace užitku</w:t>
            </w:r>
          </w:p>
        </w:tc>
      </w:tr>
      <w:tr w:rsidR="00703ABC" w:rsidRPr="007F18B1" w:rsidTr="00E63645">
        <w:tc>
          <w:tcPr>
            <w:tcW w:w="1661" w:type="dxa"/>
            <w:vMerge/>
            <w:tcBorders>
              <w:top w:val="single" w:sz="4" w:space="0" w:color="auto"/>
              <w:left w:val="dotted" w:sz="4" w:space="0" w:color="auto"/>
              <w:bottom w:val="dotted" w:sz="4" w:space="0" w:color="auto"/>
              <w:right w:val="single" w:sz="4" w:space="0" w:color="auto"/>
            </w:tcBorders>
            <w:tcMar>
              <w:left w:w="57" w:type="dxa"/>
              <w:right w:w="57" w:type="dxa"/>
            </w:tcMar>
          </w:tcPr>
          <w:p w:rsidR="00703ABC" w:rsidRPr="007F18B1" w:rsidRDefault="00703ABC" w:rsidP="00E63645">
            <w:pPr>
              <w:spacing w:before="60" w:after="60" w:line="276" w:lineRule="auto"/>
              <w:jc w:val="both"/>
              <w:rPr>
                <w:i/>
              </w:rPr>
            </w:pPr>
          </w:p>
        </w:tc>
        <w:tc>
          <w:tcPr>
            <w:tcW w:w="1139" w:type="dxa"/>
            <w:vMerge/>
            <w:tcBorders>
              <w:left w:val="single" w:sz="4" w:space="0" w:color="auto"/>
            </w:tcBorders>
            <w:tcMar>
              <w:left w:w="57" w:type="dxa"/>
              <w:right w:w="57" w:type="dxa"/>
            </w:tcMar>
            <w:vAlign w:val="center"/>
          </w:tcPr>
          <w:p w:rsidR="00703ABC" w:rsidRPr="007F18B1" w:rsidRDefault="00703ABC" w:rsidP="00E63645">
            <w:pPr>
              <w:spacing w:before="60" w:after="60" w:line="276" w:lineRule="auto"/>
            </w:pPr>
          </w:p>
        </w:tc>
        <w:tc>
          <w:tcPr>
            <w:tcW w:w="1139" w:type="dxa"/>
            <w:vMerge/>
            <w:tcMar>
              <w:left w:w="57" w:type="dxa"/>
              <w:right w:w="57" w:type="dxa"/>
            </w:tcMar>
            <w:vAlign w:val="center"/>
          </w:tcPr>
          <w:p w:rsidR="00703ABC" w:rsidRPr="007F18B1" w:rsidRDefault="00703ABC" w:rsidP="00E63645">
            <w:pPr>
              <w:spacing w:before="60" w:after="60" w:line="276" w:lineRule="auto"/>
            </w:pPr>
          </w:p>
        </w:tc>
        <w:tc>
          <w:tcPr>
            <w:tcW w:w="1281" w:type="dxa"/>
            <w:vMerge/>
            <w:tcMar>
              <w:left w:w="57" w:type="dxa"/>
              <w:right w:w="57" w:type="dxa"/>
            </w:tcMar>
            <w:vAlign w:val="center"/>
          </w:tcPr>
          <w:p w:rsidR="00703ABC" w:rsidRPr="007F18B1" w:rsidRDefault="00703ABC" w:rsidP="00E63645">
            <w:pPr>
              <w:spacing w:before="60" w:after="60" w:line="276" w:lineRule="auto"/>
            </w:pPr>
          </w:p>
        </w:tc>
        <w:tc>
          <w:tcPr>
            <w:tcW w:w="1139" w:type="dxa"/>
            <w:tcBorders>
              <w:top w:val="nil"/>
              <w:right w:val="single" w:sz="4" w:space="0" w:color="auto"/>
            </w:tcBorders>
            <w:tcMar>
              <w:left w:w="57" w:type="dxa"/>
              <w:right w:w="57" w:type="dxa"/>
            </w:tcMar>
            <w:vAlign w:val="center"/>
          </w:tcPr>
          <w:p w:rsidR="00703ABC" w:rsidRPr="007F18B1" w:rsidRDefault="00703ABC" w:rsidP="00E63645">
            <w:pPr>
              <w:spacing w:before="60" w:after="60" w:line="276" w:lineRule="auto"/>
            </w:pPr>
          </w:p>
        </w:tc>
        <w:tc>
          <w:tcPr>
            <w:tcW w:w="1423" w:type="dxa"/>
            <w:vMerge/>
            <w:tcBorders>
              <w:left w:val="single" w:sz="4" w:space="0" w:color="auto"/>
            </w:tcBorders>
            <w:tcMar>
              <w:left w:w="57" w:type="dxa"/>
              <w:right w:w="57" w:type="dxa"/>
            </w:tcMar>
            <w:vAlign w:val="center"/>
          </w:tcPr>
          <w:p w:rsidR="00703ABC" w:rsidRPr="007F18B1" w:rsidRDefault="00703ABC" w:rsidP="00E63645">
            <w:pPr>
              <w:spacing w:before="60" w:after="60" w:line="276" w:lineRule="auto"/>
            </w:pPr>
          </w:p>
        </w:tc>
        <w:tc>
          <w:tcPr>
            <w:tcW w:w="1280" w:type="dxa"/>
            <w:tcBorders>
              <w:bottom w:val="single" w:sz="4" w:space="0" w:color="auto"/>
            </w:tcBorders>
            <w:shd w:val="clear" w:color="auto" w:fill="E7E6E6" w:themeFill="background2"/>
            <w:tcMar>
              <w:left w:w="57" w:type="dxa"/>
              <w:right w:w="57" w:type="dxa"/>
            </w:tcMar>
            <w:vAlign w:val="center"/>
          </w:tcPr>
          <w:p w:rsidR="00703ABC" w:rsidRPr="007F18B1" w:rsidRDefault="00703ABC" w:rsidP="00E63645">
            <w:pPr>
              <w:spacing w:before="60" w:after="60" w:line="276" w:lineRule="auto"/>
              <w:rPr>
                <w:b/>
              </w:rPr>
            </w:pPr>
            <w:r w:rsidRPr="007F18B1">
              <w:rPr>
                <w:b/>
              </w:rPr>
              <w:t>Afektivní reakce</w:t>
            </w:r>
          </w:p>
        </w:tc>
      </w:tr>
      <w:tr w:rsidR="00703ABC" w:rsidRPr="007F18B1" w:rsidTr="00E63645">
        <w:tc>
          <w:tcPr>
            <w:tcW w:w="1661" w:type="dxa"/>
            <w:vMerge/>
            <w:tcBorders>
              <w:top w:val="single" w:sz="4" w:space="0" w:color="auto"/>
              <w:left w:val="dotted" w:sz="4" w:space="0" w:color="auto"/>
              <w:bottom w:val="dotted" w:sz="4" w:space="0" w:color="auto"/>
              <w:right w:val="single" w:sz="4" w:space="0" w:color="auto"/>
            </w:tcBorders>
            <w:tcMar>
              <w:left w:w="57" w:type="dxa"/>
              <w:right w:w="57" w:type="dxa"/>
            </w:tcMar>
          </w:tcPr>
          <w:p w:rsidR="00703ABC" w:rsidRPr="007F18B1" w:rsidRDefault="00703ABC" w:rsidP="00E63645">
            <w:pPr>
              <w:spacing w:before="60" w:after="60" w:line="276" w:lineRule="auto"/>
              <w:jc w:val="both"/>
              <w:rPr>
                <w:i/>
              </w:rPr>
            </w:pPr>
          </w:p>
        </w:tc>
        <w:tc>
          <w:tcPr>
            <w:tcW w:w="1139" w:type="dxa"/>
            <w:vMerge w:val="restart"/>
            <w:tcBorders>
              <w:left w:val="single" w:sz="4" w:space="0" w:color="auto"/>
            </w:tcBorders>
            <w:tcMar>
              <w:left w:w="57" w:type="dxa"/>
              <w:right w:w="57" w:type="dxa"/>
            </w:tcMar>
            <w:vAlign w:val="center"/>
          </w:tcPr>
          <w:p w:rsidR="00703ABC" w:rsidRPr="007F18B1" w:rsidRDefault="00703ABC" w:rsidP="00E63645">
            <w:pPr>
              <w:spacing w:before="60" w:after="60" w:line="276" w:lineRule="auto"/>
            </w:pPr>
            <w:r w:rsidRPr="007F18B1">
              <w:t>Učení</w:t>
            </w:r>
          </w:p>
        </w:tc>
        <w:tc>
          <w:tcPr>
            <w:tcW w:w="1139" w:type="dxa"/>
            <w:vMerge w:val="restart"/>
            <w:tcMar>
              <w:left w:w="57" w:type="dxa"/>
              <w:right w:w="57" w:type="dxa"/>
            </w:tcMar>
            <w:vAlign w:val="center"/>
          </w:tcPr>
          <w:p w:rsidR="00703ABC" w:rsidRPr="007F18B1" w:rsidRDefault="00703ABC" w:rsidP="00E63645">
            <w:pPr>
              <w:spacing w:before="60" w:after="60" w:line="276" w:lineRule="auto"/>
            </w:pPr>
            <w:r w:rsidRPr="007F18B1">
              <w:t>Učení</w:t>
            </w:r>
          </w:p>
        </w:tc>
        <w:tc>
          <w:tcPr>
            <w:tcW w:w="1281" w:type="dxa"/>
            <w:vMerge w:val="restart"/>
            <w:tcMar>
              <w:left w:w="57" w:type="dxa"/>
              <w:right w:w="57" w:type="dxa"/>
            </w:tcMar>
            <w:vAlign w:val="center"/>
          </w:tcPr>
          <w:p w:rsidR="00703ABC" w:rsidRPr="007F18B1" w:rsidRDefault="00703ABC" w:rsidP="00E63645">
            <w:pPr>
              <w:spacing w:before="60" w:after="60" w:line="276" w:lineRule="auto"/>
            </w:pPr>
            <w:r w:rsidRPr="007F18B1">
              <w:t>Okamžitý výstup</w:t>
            </w:r>
          </w:p>
        </w:tc>
        <w:tc>
          <w:tcPr>
            <w:tcW w:w="1139" w:type="dxa"/>
            <w:tcMar>
              <w:left w:w="57" w:type="dxa"/>
              <w:right w:w="57" w:type="dxa"/>
            </w:tcMar>
            <w:vAlign w:val="center"/>
          </w:tcPr>
          <w:p w:rsidR="00703ABC" w:rsidRPr="007F18B1" w:rsidRDefault="00703ABC" w:rsidP="00E63645">
            <w:pPr>
              <w:spacing w:before="60" w:after="60" w:line="276" w:lineRule="auto"/>
            </w:pPr>
            <w:r w:rsidRPr="007F18B1">
              <w:t>Změna znalostí</w:t>
            </w:r>
          </w:p>
        </w:tc>
        <w:tc>
          <w:tcPr>
            <w:tcW w:w="1423" w:type="dxa"/>
            <w:vMerge w:val="restart"/>
            <w:tcMar>
              <w:left w:w="57" w:type="dxa"/>
              <w:right w:w="57" w:type="dxa"/>
            </w:tcMar>
            <w:vAlign w:val="center"/>
          </w:tcPr>
          <w:p w:rsidR="00703ABC" w:rsidRPr="007F18B1" w:rsidRDefault="00703ABC" w:rsidP="00E63645">
            <w:pPr>
              <w:spacing w:before="60" w:after="60" w:line="276" w:lineRule="auto"/>
            </w:pPr>
            <w:r w:rsidRPr="007F18B1">
              <w:t>Učení</w:t>
            </w:r>
          </w:p>
        </w:tc>
        <w:tc>
          <w:tcPr>
            <w:tcW w:w="1280" w:type="dxa"/>
            <w:tcBorders>
              <w:bottom w:val="nil"/>
            </w:tcBorders>
            <w:shd w:val="clear" w:color="auto" w:fill="E7E6E6" w:themeFill="background2"/>
            <w:tcMar>
              <w:left w:w="57" w:type="dxa"/>
              <w:right w:w="57" w:type="dxa"/>
            </w:tcMar>
            <w:vAlign w:val="center"/>
          </w:tcPr>
          <w:p w:rsidR="00703ABC" w:rsidRPr="007F18B1" w:rsidRDefault="00703ABC" w:rsidP="00E63645">
            <w:pPr>
              <w:spacing w:before="60" w:after="60" w:line="276" w:lineRule="auto"/>
              <w:rPr>
                <w:b/>
              </w:rPr>
            </w:pPr>
            <w:r w:rsidRPr="007F18B1">
              <w:rPr>
                <w:b/>
              </w:rPr>
              <w:t>Učení:</w:t>
            </w:r>
          </w:p>
          <w:p w:rsidR="00703ABC" w:rsidRPr="007F18B1" w:rsidRDefault="00703ABC" w:rsidP="00E63645">
            <w:pPr>
              <w:pStyle w:val="Odstavecseseznamem"/>
              <w:numPr>
                <w:ilvl w:val="0"/>
                <w:numId w:val="1"/>
              </w:numPr>
              <w:spacing w:before="60" w:after="60" w:line="276" w:lineRule="auto"/>
              <w:ind w:left="172" w:hanging="142"/>
              <w:rPr>
                <w:b/>
              </w:rPr>
            </w:pPr>
            <w:r w:rsidRPr="007F18B1">
              <w:rPr>
                <w:b/>
              </w:rPr>
              <w:t>získané znalosti</w:t>
            </w:r>
          </w:p>
        </w:tc>
      </w:tr>
      <w:tr w:rsidR="00703ABC" w:rsidRPr="007F18B1" w:rsidTr="00E63645">
        <w:tc>
          <w:tcPr>
            <w:tcW w:w="1661" w:type="dxa"/>
            <w:vMerge/>
            <w:tcBorders>
              <w:top w:val="single" w:sz="4" w:space="0" w:color="auto"/>
              <w:left w:val="dotted" w:sz="4" w:space="0" w:color="auto"/>
              <w:bottom w:val="dotted" w:sz="4" w:space="0" w:color="auto"/>
              <w:right w:val="single" w:sz="4" w:space="0" w:color="auto"/>
            </w:tcBorders>
            <w:tcMar>
              <w:left w:w="57" w:type="dxa"/>
              <w:right w:w="57" w:type="dxa"/>
            </w:tcMar>
          </w:tcPr>
          <w:p w:rsidR="00703ABC" w:rsidRPr="007F18B1" w:rsidRDefault="00703ABC" w:rsidP="00E63645">
            <w:pPr>
              <w:spacing w:before="60" w:after="60" w:line="276" w:lineRule="auto"/>
              <w:jc w:val="both"/>
              <w:rPr>
                <w:i/>
              </w:rPr>
            </w:pPr>
          </w:p>
        </w:tc>
        <w:tc>
          <w:tcPr>
            <w:tcW w:w="1139" w:type="dxa"/>
            <w:vMerge/>
            <w:tcBorders>
              <w:left w:val="single" w:sz="4" w:space="0" w:color="auto"/>
            </w:tcBorders>
            <w:tcMar>
              <w:left w:w="57" w:type="dxa"/>
              <w:right w:w="57" w:type="dxa"/>
            </w:tcMar>
            <w:vAlign w:val="center"/>
          </w:tcPr>
          <w:p w:rsidR="00703ABC" w:rsidRPr="007F18B1" w:rsidRDefault="00703ABC" w:rsidP="00E63645">
            <w:pPr>
              <w:spacing w:before="60" w:after="60" w:line="276" w:lineRule="auto"/>
            </w:pPr>
          </w:p>
        </w:tc>
        <w:tc>
          <w:tcPr>
            <w:tcW w:w="1139" w:type="dxa"/>
            <w:vMerge/>
            <w:tcMar>
              <w:left w:w="57" w:type="dxa"/>
              <w:right w:w="57" w:type="dxa"/>
            </w:tcMar>
            <w:vAlign w:val="center"/>
          </w:tcPr>
          <w:p w:rsidR="00703ABC" w:rsidRPr="007F18B1" w:rsidRDefault="00703ABC" w:rsidP="00E63645">
            <w:pPr>
              <w:spacing w:before="60" w:after="60" w:line="276" w:lineRule="auto"/>
            </w:pPr>
          </w:p>
        </w:tc>
        <w:tc>
          <w:tcPr>
            <w:tcW w:w="1281" w:type="dxa"/>
            <w:vMerge/>
            <w:tcMar>
              <w:left w:w="57" w:type="dxa"/>
              <w:right w:w="57" w:type="dxa"/>
            </w:tcMar>
            <w:vAlign w:val="center"/>
          </w:tcPr>
          <w:p w:rsidR="00703ABC" w:rsidRPr="007F18B1" w:rsidRDefault="00703ABC" w:rsidP="00E63645">
            <w:pPr>
              <w:spacing w:before="60" w:after="60" w:line="276" w:lineRule="auto"/>
            </w:pPr>
          </w:p>
        </w:tc>
        <w:tc>
          <w:tcPr>
            <w:tcW w:w="1139" w:type="dxa"/>
            <w:tcMar>
              <w:left w:w="57" w:type="dxa"/>
              <w:right w:w="57" w:type="dxa"/>
            </w:tcMar>
            <w:vAlign w:val="center"/>
          </w:tcPr>
          <w:p w:rsidR="00703ABC" w:rsidRPr="007F18B1" w:rsidRDefault="00703ABC" w:rsidP="00E63645">
            <w:pPr>
              <w:spacing w:before="60" w:after="60" w:line="276" w:lineRule="auto"/>
            </w:pPr>
            <w:r w:rsidRPr="007F18B1">
              <w:t>Změna dovedností</w:t>
            </w:r>
          </w:p>
        </w:tc>
        <w:tc>
          <w:tcPr>
            <w:tcW w:w="1423" w:type="dxa"/>
            <w:vMerge/>
            <w:tcMar>
              <w:left w:w="57" w:type="dxa"/>
              <w:right w:w="57" w:type="dxa"/>
            </w:tcMar>
            <w:vAlign w:val="center"/>
          </w:tcPr>
          <w:p w:rsidR="00703ABC" w:rsidRPr="007F18B1" w:rsidRDefault="00703ABC" w:rsidP="00E63645">
            <w:pPr>
              <w:spacing w:before="60" w:after="60" w:line="276" w:lineRule="auto"/>
            </w:pPr>
          </w:p>
        </w:tc>
        <w:tc>
          <w:tcPr>
            <w:tcW w:w="1280" w:type="dxa"/>
            <w:tcBorders>
              <w:top w:val="nil"/>
              <w:bottom w:val="nil"/>
            </w:tcBorders>
            <w:shd w:val="clear" w:color="auto" w:fill="E7E6E6" w:themeFill="background2"/>
            <w:tcMar>
              <w:left w:w="57" w:type="dxa"/>
              <w:right w:w="57" w:type="dxa"/>
            </w:tcMar>
            <w:vAlign w:val="center"/>
          </w:tcPr>
          <w:p w:rsidR="00703ABC" w:rsidRPr="007F18B1" w:rsidRDefault="00703ABC" w:rsidP="00E63645">
            <w:pPr>
              <w:pStyle w:val="Odstavecseseznamem"/>
              <w:numPr>
                <w:ilvl w:val="0"/>
                <w:numId w:val="1"/>
              </w:numPr>
              <w:spacing w:before="60" w:after="60" w:line="276" w:lineRule="auto"/>
              <w:ind w:left="172" w:hanging="142"/>
              <w:rPr>
                <w:b/>
              </w:rPr>
            </w:pPr>
            <w:r w:rsidRPr="007F18B1">
              <w:rPr>
                <w:b/>
              </w:rPr>
              <w:t>získané dovednosti</w:t>
            </w:r>
          </w:p>
        </w:tc>
      </w:tr>
      <w:tr w:rsidR="00703ABC" w:rsidRPr="007F18B1" w:rsidTr="00E63645">
        <w:trPr>
          <w:trHeight w:val="121"/>
        </w:trPr>
        <w:tc>
          <w:tcPr>
            <w:tcW w:w="1661" w:type="dxa"/>
            <w:vMerge/>
            <w:tcBorders>
              <w:top w:val="single" w:sz="4" w:space="0" w:color="auto"/>
              <w:left w:val="dotted" w:sz="4" w:space="0" w:color="auto"/>
              <w:bottom w:val="dotted" w:sz="4" w:space="0" w:color="auto"/>
              <w:right w:val="single" w:sz="4" w:space="0" w:color="auto"/>
            </w:tcBorders>
            <w:tcMar>
              <w:left w:w="57" w:type="dxa"/>
              <w:right w:w="57" w:type="dxa"/>
            </w:tcMar>
          </w:tcPr>
          <w:p w:rsidR="00703ABC" w:rsidRPr="007F18B1" w:rsidRDefault="00703ABC" w:rsidP="00E63645">
            <w:pPr>
              <w:spacing w:before="60" w:after="60" w:line="276" w:lineRule="auto"/>
              <w:jc w:val="both"/>
              <w:rPr>
                <w:i/>
              </w:rPr>
            </w:pPr>
          </w:p>
        </w:tc>
        <w:tc>
          <w:tcPr>
            <w:tcW w:w="1139" w:type="dxa"/>
            <w:vMerge/>
            <w:tcBorders>
              <w:left w:val="single" w:sz="4" w:space="0" w:color="auto"/>
            </w:tcBorders>
            <w:tcMar>
              <w:left w:w="57" w:type="dxa"/>
              <w:right w:w="57" w:type="dxa"/>
            </w:tcMar>
            <w:vAlign w:val="center"/>
          </w:tcPr>
          <w:p w:rsidR="00703ABC" w:rsidRPr="007F18B1" w:rsidRDefault="00703ABC" w:rsidP="00E63645">
            <w:pPr>
              <w:spacing w:before="60" w:after="60" w:line="276" w:lineRule="auto"/>
            </w:pPr>
          </w:p>
        </w:tc>
        <w:tc>
          <w:tcPr>
            <w:tcW w:w="1139" w:type="dxa"/>
            <w:vMerge/>
            <w:tcMar>
              <w:left w:w="57" w:type="dxa"/>
              <w:right w:w="57" w:type="dxa"/>
            </w:tcMar>
            <w:vAlign w:val="center"/>
          </w:tcPr>
          <w:p w:rsidR="00703ABC" w:rsidRPr="007F18B1" w:rsidRDefault="00703ABC" w:rsidP="00E63645">
            <w:pPr>
              <w:spacing w:before="60" w:after="60" w:line="276" w:lineRule="auto"/>
            </w:pPr>
          </w:p>
        </w:tc>
        <w:tc>
          <w:tcPr>
            <w:tcW w:w="1281" w:type="dxa"/>
            <w:vMerge/>
            <w:tcMar>
              <w:left w:w="57" w:type="dxa"/>
              <w:right w:w="57" w:type="dxa"/>
            </w:tcMar>
            <w:vAlign w:val="center"/>
          </w:tcPr>
          <w:p w:rsidR="00703ABC" w:rsidRPr="007F18B1" w:rsidRDefault="00703ABC" w:rsidP="00E63645">
            <w:pPr>
              <w:spacing w:before="60" w:after="60" w:line="276" w:lineRule="auto"/>
            </w:pPr>
          </w:p>
        </w:tc>
        <w:tc>
          <w:tcPr>
            <w:tcW w:w="1139" w:type="dxa"/>
            <w:tcBorders>
              <w:bottom w:val="single" w:sz="4" w:space="0" w:color="auto"/>
            </w:tcBorders>
            <w:tcMar>
              <w:left w:w="57" w:type="dxa"/>
              <w:right w:w="57" w:type="dxa"/>
            </w:tcMar>
            <w:vAlign w:val="center"/>
          </w:tcPr>
          <w:p w:rsidR="00703ABC" w:rsidRPr="007F18B1" w:rsidRDefault="00703ABC" w:rsidP="00E63645">
            <w:pPr>
              <w:spacing w:before="60" w:after="60" w:line="276" w:lineRule="auto"/>
            </w:pPr>
            <w:r w:rsidRPr="007F18B1">
              <w:t>Změna postojů</w:t>
            </w:r>
          </w:p>
        </w:tc>
        <w:tc>
          <w:tcPr>
            <w:tcW w:w="1423" w:type="dxa"/>
            <w:vMerge/>
            <w:tcMar>
              <w:left w:w="57" w:type="dxa"/>
              <w:right w:w="57" w:type="dxa"/>
            </w:tcMar>
            <w:vAlign w:val="center"/>
          </w:tcPr>
          <w:p w:rsidR="00703ABC" w:rsidRPr="007F18B1" w:rsidRDefault="00703ABC" w:rsidP="00E63645">
            <w:pPr>
              <w:spacing w:before="60" w:after="60" w:line="276" w:lineRule="auto"/>
            </w:pPr>
          </w:p>
        </w:tc>
        <w:tc>
          <w:tcPr>
            <w:tcW w:w="1280" w:type="dxa"/>
            <w:tcBorders>
              <w:top w:val="nil"/>
            </w:tcBorders>
            <w:shd w:val="clear" w:color="auto" w:fill="E7E6E6" w:themeFill="background2"/>
            <w:tcMar>
              <w:left w:w="57" w:type="dxa"/>
              <w:right w:w="57" w:type="dxa"/>
            </w:tcMar>
            <w:vAlign w:val="center"/>
          </w:tcPr>
          <w:p w:rsidR="00703ABC" w:rsidRPr="007F18B1" w:rsidRDefault="00703ABC" w:rsidP="00E63645">
            <w:pPr>
              <w:pStyle w:val="Odstavecseseznamem"/>
              <w:numPr>
                <w:ilvl w:val="0"/>
                <w:numId w:val="1"/>
              </w:numPr>
              <w:spacing w:before="60" w:after="60" w:line="276" w:lineRule="auto"/>
              <w:ind w:left="172" w:hanging="142"/>
              <w:rPr>
                <w:b/>
              </w:rPr>
            </w:pPr>
            <w:r w:rsidRPr="007F18B1">
              <w:rPr>
                <w:b/>
              </w:rPr>
              <w:t>změny postojů</w:t>
            </w:r>
          </w:p>
        </w:tc>
      </w:tr>
      <w:tr w:rsidR="00703ABC" w:rsidRPr="007F18B1" w:rsidTr="00E63645">
        <w:tc>
          <w:tcPr>
            <w:tcW w:w="1661" w:type="dxa"/>
            <w:vMerge w:val="restart"/>
            <w:tcBorders>
              <w:top w:val="dotted" w:sz="4" w:space="0" w:color="auto"/>
              <w:left w:val="dotted" w:sz="4" w:space="0" w:color="auto"/>
              <w:bottom w:val="single" w:sz="4" w:space="0" w:color="auto"/>
              <w:right w:val="single" w:sz="4" w:space="0" w:color="auto"/>
            </w:tcBorders>
            <w:tcMar>
              <w:left w:w="57" w:type="dxa"/>
              <w:right w:w="57" w:type="dxa"/>
            </w:tcMar>
            <w:vAlign w:val="center"/>
          </w:tcPr>
          <w:p w:rsidR="00703ABC" w:rsidRPr="007F18B1" w:rsidRDefault="00703ABC" w:rsidP="00E63645">
            <w:pPr>
              <w:spacing w:before="60" w:after="60" w:line="276" w:lineRule="auto"/>
              <w:rPr>
                <w:i/>
              </w:rPr>
            </w:pPr>
            <w:r w:rsidRPr="007F18B1">
              <w:rPr>
                <w:i/>
              </w:rPr>
              <w:t>Po skončení vzdělávací akce</w:t>
            </w:r>
          </w:p>
        </w:tc>
        <w:tc>
          <w:tcPr>
            <w:tcW w:w="1139" w:type="dxa"/>
            <w:tcBorders>
              <w:left w:val="single" w:sz="4" w:space="0" w:color="auto"/>
            </w:tcBorders>
            <w:tcMar>
              <w:left w:w="57" w:type="dxa"/>
              <w:right w:w="57" w:type="dxa"/>
            </w:tcMar>
            <w:vAlign w:val="center"/>
          </w:tcPr>
          <w:p w:rsidR="00703ABC" w:rsidRPr="007F18B1" w:rsidRDefault="00703ABC" w:rsidP="00E63645">
            <w:pPr>
              <w:spacing w:before="60" w:after="60" w:line="276" w:lineRule="auto"/>
            </w:pPr>
            <w:r w:rsidRPr="007F18B1">
              <w:t>Chování</w:t>
            </w:r>
          </w:p>
        </w:tc>
        <w:tc>
          <w:tcPr>
            <w:tcW w:w="1139" w:type="dxa"/>
            <w:tcMar>
              <w:left w:w="57" w:type="dxa"/>
              <w:right w:w="57" w:type="dxa"/>
            </w:tcMar>
            <w:vAlign w:val="center"/>
          </w:tcPr>
          <w:p w:rsidR="00703ABC" w:rsidRPr="007F18B1" w:rsidRDefault="00703ABC" w:rsidP="00E63645">
            <w:pPr>
              <w:spacing w:before="60" w:after="60" w:line="276" w:lineRule="auto"/>
            </w:pPr>
            <w:r w:rsidRPr="007F18B1">
              <w:t>Pracovní chování</w:t>
            </w:r>
          </w:p>
        </w:tc>
        <w:tc>
          <w:tcPr>
            <w:tcW w:w="1281" w:type="dxa"/>
            <w:tcMar>
              <w:left w:w="57" w:type="dxa"/>
              <w:right w:w="57" w:type="dxa"/>
            </w:tcMar>
            <w:vAlign w:val="center"/>
          </w:tcPr>
          <w:p w:rsidR="00703ABC" w:rsidRPr="007F18B1" w:rsidRDefault="00703ABC" w:rsidP="00E63645">
            <w:pPr>
              <w:spacing w:before="60" w:after="60" w:line="276" w:lineRule="auto"/>
            </w:pPr>
            <w:r w:rsidRPr="007F18B1">
              <w:t>Střednědobý výstup</w:t>
            </w:r>
          </w:p>
        </w:tc>
        <w:tc>
          <w:tcPr>
            <w:tcW w:w="1139" w:type="dxa"/>
            <w:tcBorders>
              <w:bottom w:val="nil"/>
            </w:tcBorders>
            <w:tcMar>
              <w:left w:w="57" w:type="dxa"/>
              <w:right w:w="57" w:type="dxa"/>
            </w:tcMar>
            <w:vAlign w:val="center"/>
          </w:tcPr>
          <w:p w:rsidR="00703ABC" w:rsidRPr="007F18B1" w:rsidRDefault="00703ABC" w:rsidP="00E63645">
            <w:pPr>
              <w:spacing w:before="60" w:after="60" w:line="276" w:lineRule="auto"/>
            </w:pPr>
          </w:p>
        </w:tc>
        <w:tc>
          <w:tcPr>
            <w:tcW w:w="1423" w:type="dxa"/>
            <w:tcMar>
              <w:left w:w="57" w:type="dxa"/>
              <w:right w:w="57" w:type="dxa"/>
            </w:tcMar>
            <w:vAlign w:val="center"/>
          </w:tcPr>
          <w:p w:rsidR="00703ABC" w:rsidRPr="007F18B1" w:rsidRDefault="00703ABC" w:rsidP="00E63645">
            <w:pPr>
              <w:spacing w:before="60" w:after="60" w:line="276" w:lineRule="auto"/>
            </w:pPr>
            <w:r w:rsidRPr="007F18B1">
              <w:t>Aplikace naučeného</w:t>
            </w:r>
          </w:p>
        </w:tc>
        <w:tc>
          <w:tcPr>
            <w:tcW w:w="1280" w:type="dxa"/>
            <w:shd w:val="clear" w:color="auto" w:fill="E7E6E6" w:themeFill="background2"/>
            <w:tcMar>
              <w:left w:w="57" w:type="dxa"/>
              <w:right w:w="57" w:type="dxa"/>
            </w:tcMar>
            <w:vAlign w:val="center"/>
          </w:tcPr>
          <w:p w:rsidR="00703ABC" w:rsidRPr="007F18B1" w:rsidRDefault="00703ABC" w:rsidP="00E63645">
            <w:pPr>
              <w:spacing w:before="60" w:after="60" w:line="276" w:lineRule="auto"/>
              <w:rPr>
                <w:b/>
              </w:rPr>
            </w:pPr>
            <w:r w:rsidRPr="007F18B1">
              <w:rPr>
                <w:b/>
              </w:rPr>
              <w:t>Pracovní chování</w:t>
            </w:r>
          </w:p>
        </w:tc>
      </w:tr>
      <w:tr w:rsidR="00703ABC" w:rsidRPr="007F18B1" w:rsidTr="00E63645">
        <w:tc>
          <w:tcPr>
            <w:tcW w:w="1661" w:type="dxa"/>
            <w:vMerge/>
            <w:tcBorders>
              <w:top w:val="nil"/>
              <w:left w:val="dotted" w:sz="4" w:space="0" w:color="auto"/>
              <w:bottom w:val="single" w:sz="4" w:space="0" w:color="auto"/>
              <w:right w:val="single" w:sz="4" w:space="0" w:color="auto"/>
            </w:tcBorders>
            <w:tcMar>
              <w:left w:w="57" w:type="dxa"/>
              <w:right w:w="57" w:type="dxa"/>
            </w:tcMar>
            <w:vAlign w:val="center"/>
          </w:tcPr>
          <w:p w:rsidR="00703ABC" w:rsidRPr="007F18B1" w:rsidRDefault="00703ABC" w:rsidP="00E63645">
            <w:pPr>
              <w:spacing w:before="60" w:after="60" w:line="276" w:lineRule="auto"/>
            </w:pPr>
          </w:p>
        </w:tc>
        <w:tc>
          <w:tcPr>
            <w:tcW w:w="1139" w:type="dxa"/>
            <w:tcBorders>
              <w:left w:val="single" w:sz="4" w:space="0" w:color="auto"/>
              <w:bottom w:val="single" w:sz="4" w:space="0" w:color="auto"/>
            </w:tcBorders>
            <w:tcMar>
              <w:left w:w="57" w:type="dxa"/>
              <w:right w:w="57" w:type="dxa"/>
            </w:tcMar>
            <w:vAlign w:val="center"/>
          </w:tcPr>
          <w:p w:rsidR="00703ABC" w:rsidRPr="007F18B1" w:rsidRDefault="00703ABC" w:rsidP="00E63645">
            <w:pPr>
              <w:spacing w:before="60" w:after="60" w:line="276" w:lineRule="auto"/>
            </w:pPr>
            <w:r w:rsidRPr="007F18B1">
              <w:t>Výsledky</w:t>
            </w:r>
          </w:p>
        </w:tc>
        <w:tc>
          <w:tcPr>
            <w:tcW w:w="1139" w:type="dxa"/>
            <w:tcBorders>
              <w:bottom w:val="single" w:sz="4" w:space="0" w:color="auto"/>
            </w:tcBorders>
            <w:tcMar>
              <w:left w:w="57" w:type="dxa"/>
              <w:right w:w="57" w:type="dxa"/>
            </w:tcMar>
            <w:vAlign w:val="center"/>
          </w:tcPr>
          <w:p w:rsidR="00703ABC" w:rsidRPr="007F18B1" w:rsidRDefault="00703ABC" w:rsidP="00E63645">
            <w:pPr>
              <w:spacing w:before="60" w:after="60" w:line="276" w:lineRule="auto"/>
            </w:pPr>
            <w:r w:rsidRPr="007F18B1">
              <w:t>Organizace</w:t>
            </w:r>
          </w:p>
        </w:tc>
        <w:tc>
          <w:tcPr>
            <w:tcW w:w="1281" w:type="dxa"/>
            <w:tcBorders>
              <w:bottom w:val="single" w:sz="4" w:space="0" w:color="auto"/>
            </w:tcBorders>
            <w:tcMar>
              <w:left w:w="57" w:type="dxa"/>
              <w:right w:w="57" w:type="dxa"/>
            </w:tcMar>
            <w:vAlign w:val="center"/>
          </w:tcPr>
          <w:p w:rsidR="00703ABC" w:rsidRPr="007F18B1" w:rsidRDefault="00703ABC" w:rsidP="00E63645">
            <w:pPr>
              <w:spacing w:before="60" w:after="60" w:line="276" w:lineRule="auto"/>
            </w:pPr>
            <w:r w:rsidRPr="007F18B1">
              <w:t>Konečný výstup</w:t>
            </w:r>
          </w:p>
        </w:tc>
        <w:tc>
          <w:tcPr>
            <w:tcW w:w="1139" w:type="dxa"/>
            <w:tcBorders>
              <w:top w:val="nil"/>
              <w:bottom w:val="nil"/>
            </w:tcBorders>
            <w:tcMar>
              <w:left w:w="57" w:type="dxa"/>
              <w:right w:w="57" w:type="dxa"/>
            </w:tcMar>
            <w:vAlign w:val="center"/>
          </w:tcPr>
          <w:p w:rsidR="00703ABC" w:rsidRPr="007F18B1" w:rsidRDefault="00703ABC" w:rsidP="00E63645">
            <w:pPr>
              <w:spacing w:before="60" w:after="60" w:line="276" w:lineRule="auto"/>
            </w:pPr>
          </w:p>
        </w:tc>
        <w:tc>
          <w:tcPr>
            <w:tcW w:w="1423" w:type="dxa"/>
            <w:tcMar>
              <w:left w:w="57" w:type="dxa"/>
              <w:right w:w="57" w:type="dxa"/>
            </w:tcMar>
            <w:vAlign w:val="center"/>
          </w:tcPr>
          <w:p w:rsidR="00703ABC" w:rsidRPr="007F18B1" w:rsidRDefault="00703ABC" w:rsidP="00E63645">
            <w:pPr>
              <w:spacing w:before="60" w:after="60" w:line="276" w:lineRule="auto"/>
            </w:pPr>
            <w:r w:rsidRPr="007F18B1">
              <w:t>Obchodní výsledky</w:t>
            </w:r>
          </w:p>
        </w:tc>
        <w:tc>
          <w:tcPr>
            <w:tcW w:w="1280" w:type="dxa"/>
            <w:shd w:val="clear" w:color="auto" w:fill="E7E6E6" w:themeFill="background2"/>
            <w:tcMar>
              <w:left w:w="57" w:type="dxa"/>
              <w:right w:w="57" w:type="dxa"/>
            </w:tcMar>
            <w:vAlign w:val="center"/>
          </w:tcPr>
          <w:p w:rsidR="00703ABC" w:rsidRPr="007F18B1" w:rsidRDefault="00703ABC" w:rsidP="00E63645">
            <w:pPr>
              <w:spacing w:before="60" w:after="60" w:line="276" w:lineRule="auto"/>
              <w:rPr>
                <w:b/>
              </w:rPr>
            </w:pPr>
            <w:r w:rsidRPr="007F18B1">
              <w:rPr>
                <w:b/>
              </w:rPr>
              <w:t>Výsledky organizace</w:t>
            </w:r>
          </w:p>
        </w:tc>
      </w:tr>
      <w:tr w:rsidR="00703ABC" w:rsidRPr="007F18B1" w:rsidTr="00E63645">
        <w:tc>
          <w:tcPr>
            <w:tcW w:w="1661" w:type="dxa"/>
            <w:vMerge/>
            <w:tcBorders>
              <w:top w:val="nil"/>
              <w:left w:val="dotted" w:sz="4" w:space="0" w:color="auto"/>
              <w:bottom w:val="single" w:sz="4" w:space="0" w:color="auto"/>
              <w:right w:val="dotted" w:sz="4" w:space="0" w:color="auto"/>
            </w:tcBorders>
            <w:tcMar>
              <w:left w:w="57" w:type="dxa"/>
              <w:right w:w="57" w:type="dxa"/>
            </w:tcMar>
            <w:vAlign w:val="center"/>
          </w:tcPr>
          <w:p w:rsidR="00703ABC" w:rsidRPr="007F18B1" w:rsidRDefault="00703ABC" w:rsidP="00E63645">
            <w:pPr>
              <w:spacing w:before="60" w:after="60" w:line="276" w:lineRule="auto"/>
            </w:pPr>
          </w:p>
        </w:tc>
        <w:tc>
          <w:tcPr>
            <w:tcW w:w="1139" w:type="dxa"/>
            <w:tcBorders>
              <w:left w:val="dotted" w:sz="4" w:space="0" w:color="auto"/>
              <w:bottom w:val="nil"/>
            </w:tcBorders>
            <w:tcMar>
              <w:left w:w="57" w:type="dxa"/>
              <w:right w:w="57" w:type="dxa"/>
            </w:tcMar>
            <w:vAlign w:val="center"/>
          </w:tcPr>
          <w:p w:rsidR="00703ABC" w:rsidRPr="007F18B1" w:rsidRDefault="00703ABC" w:rsidP="00E63645">
            <w:pPr>
              <w:spacing w:before="60" w:after="60" w:line="276" w:lineRule="auto"/>
            </w:pPr>
          </w:p>
        </w:tc>
        <w:tc>
          <w:tcPr>
            <w:tcW w:w="1139" w:type="dxa"/>
            <w:vMerge w:val="restart"/>
            <w:tcMar>
              <w:left w:w="57" w:type="dxa"/>
              <w:right w:w="57" w:type="dxa"/>
            </w:tcMar>
            <w:vAlign w:val="center"/>
          </w:tcPr>
          <w:p w:rsidR="00703ABC" w:rsidRPr="007F18B1" w:rsidRDefault="00703ABC" w:rsidP="00E63645">
            <w:pPr>
              <w:spacing w:before="60" w:after="60" w:line="276" w:lineRule="auto"/>
            </w:pPr>
            <w:r w:rsidRPr="007F18B1">
              <w:t>Konečná hodnota</w:t>
            </w:r>
          </w:p>
        </w:tc>
        <w:tc>
          <w:tcPr>
            <w:tcW w:w="1281" w:type="dxa"/>
            <w:tcBorders>
              <w:bottom w:val="nil"/>
              <w:right w:val="dotted" w:sz="4" w:space="0" w:color="auto"/>
            </w:tcBorders>
            <w:tcMar>
              <w:left w:w="57" w:type="dxa"/>
              <w:right w:w="57" w:type="dxa"/>
            </w:tcMar>
            <w:vAlign w:val="center"/>
          </w:tcPr>
          <w:p w:rsidR="00703ABC" w:rsidRPr="007F18B1" w:rsidRDefault="00703ABC" w:rsidP="00E63645">
            <w:pPr>
              <w:spacing w:before="60" w:after="60" w:line="276" w:lineRule="auto"/>
            </w:pPr>
          </w:p>
        </w:tc>
        <w:tc>
          <w:tcPr>
            <w:tcW w:w="1139" w:type="dxa"/>
            <w:tcBorders>
              <w:top w:val="nil"/>
              <w:left w:val="dotted" w:sz="4" w:space="0" w:color="auto"/>
              <w:bottom w:val="nil"/>
            </w:tcBorders>
            <w:tcMar>
              <w:left w:w="57" w:type="dxa"/>
              <w:right w:w="57" w:type="dxa"/>
            </w:tcMar>
            <w:vAlign w:val="center"/>
          </w:tcPr>
          <w:p w:rsidR="00703ABC" w:rsidRPr="007F18B1" w:rsidRDefault="00703ABC" w:rsidP="00E63645">
            <w:pPr>
              <w:spacing w:before="60" w:after="60" w:line="276" w:lineRule="auto"/>
            </w:pPr>
          </w:p>
        </w:tc>
        <w:tc>
          <w:tcPr>
            <w:tcW w:w="1423" w:type="dxa"/>
            <w:tcBorders>
              <w:bottom w:val="single" w:sz="4" w:space="0" w:color="auto"/>
            </w:tcBorders>
            <w:tcMar>
              <w:left w:w="57" w:type="dxa"/>
              <w:right w:w="57" w:type="dxa"/>
            </w:tcMar>
            <w:vAlign w:val="center"/>
          </w:tcPr>
          <w:p w:rsidR="00703ABC" w:rsidRPr="007F18B1" w:rsidRDefault="00703ABC" w:rsidP="00E63645">
            <w:pPr>
              <w:spacing w:before="60" w:after="60" w:line="276" w:lineRule="auto"/>
            </w:pPr>
            <w:r w:rsidRPr="007F18B1">
              <w:t>ROI</w:t>
            </w:r>
          </w:p>
        </w:tc>
        <w:tc>
          <w:tcPr>
            <w:tcW w:w="1280" w:type="dxa"/>
            <w:tcBorders>
              <w:bottom w:val="single" w:sz="4" w:space="0" w:color="auto"/>
            </w:tcBorders>
            <w:shd w:val="clear" w:color="auto" w:fill="E7E6E6" w:themeFill="background2"/>
            <w:tcMar>
              <w:left w:w="57" w:type="dxa"/>
              <w:right w:w="57" w:type="dxa"/>
            </w:tcMar>
            <w:vAlign w:val="center"/>
          </w:tcPr>
          <w:p w:rsidR="00703ABC" w:rsidRPr="007F18B1" w:rsidRDefault="00703ABC" w:rsidP="00E63645">
            <w:pPr>
              <w:spacing w:before="60" w:after="60" w:line="276" w:lineRule="auto"/>
              <w:rPr>
                <w:b/>
              </w:rPr>
            </w:pPr>
            <w:r w:rsidRPr="007F18B1">
              <w:rPr>
                <w:b/>
              </w:rPr>
              <w:t>ROI</w:t>
            </w:r>
          </w:p>
        </w:tc>
      </w:tr>
      <w:tr w:rsidR="00703ABC" w:rsidRPr="007F18B1" w:rsidTr="00E63645">
        <w:tc>
          <w:tcPr>
            <w:tcW w:w="1661" w:type="dxa"/>
            <w:vMerge/>
            <w:tcBorders>
              <w:top w:val="nil"/>
              <w:left w:val="dotted" w:sz="4" w:space="0" w:color="auto"/>
              <w:bottom w:val="dotted" w:sz="4" w:space="0" w:color="auto"/>
              <w:right w:val="dotted" w:sz="4" w:space="0" w:color="auto"/>
            </w:tcBorders>
            <w:tcMar>
              <w:left w:w="57" w:type="dxa"/>
              <w:right w:w="57" w:type="dxa"/>
            </w:tcMar>
            <w:vAlign w:val="center"/>
          </w:tcPr>
          <w:p w:rsidR="00703ABC" w:rsidRPr="007F18B1" w:rsidRDefault="00703ABC" w:rsidP="00E63645">
            <w:pPr>
              <w:spacing w:before="60" w:after="60" w:line="276" w:lineRule="auto"/>
            </w:pPr>
          </w:p>
        </w:tc>
        <w:tc>
          <w:tcPr>
            <w:tcW w:w="1139" w:type="dxa"/>
            <w:tcBorders>
              <w:top w:val="nil"/>
              <w:left w:val="dotted" w:sz="4" w:space="0" w:color="auto"/>
              <w:bottom w:val="dotted" w:sz="4" w:space="0" w:color="auto"/>
            </w:tcBorders>
            <w:tcMar>
              <w:left w:w="57" w:type="dxa"/>
              <w:right w:w="57" w:type="dxa"/>
            </w:tcMar>
            <w:vAlign w:val="center"/>
          </w:tcPr>
          <w:p w:rsidR="00703ABC" w:rsidRPr="007F18B1" w:rsidRDefault="00703ABC" w:rsidP="00E63645">
            <w:pPr>
              <w:spacing w:before="60" w:after="60" w:line="276" w:lineRule="auto"/>
            </w:pPr>
          </w:p>
        </w:tc>
        <w:tc>
          <w:tcPr>
            <w:tcW w:w="1139" w:type="dxa"/>
            <w:vMerge/>
            <w:tcBorders>
              <w:bottom w:val="single" w:sz="4" w:space="0" w:color="auto"/>
            </w:tcBorders>
            <w:tcMar>
              <w:left w:w="57" w:type="dxa"/>
              <w:right w:w="57" w:type="dxa"/>
            </w:tcMar>
            <w:vAlign w:val="center"/>
          </w:tcPr>
          <w:p w:rsidR="00703ABC" w:rsidRPr="007F18B1" w:rsidRDefault="00703ABC" w:rsidP="00E63645">
            <w:pPr>
              <w:spacing w:before="60" w:after="60" w:line="276" w:lineRule="auto"/>
            </w:pPr>
          </w:p>
        </w:tc>
        <w:tc>
          <w:tcPr>
            <w:tcW w:w="1281" w:type="dxa"/>
            <w:tcBorders>
              <w:top w:val="nil"/>
              <w:bottom w:val="dotted" w:sz="4" w:space="0" w:color="auto"/>
              <w:right w:val="dotted" w:sz="4" w:space="0" w:color="auto"/>
            </w:tcBorders>
            <w:tcMar>
              <w:left w:w="57" w:type="dxa"/>
              <w:right w:w="57" w:type="dxa"/>
            </w:tcMar>
            <w:vAlign w:val="center"/>
          </w:tcPr>
          <w:p w:rsidR="00703ABC" w:rsidRPr="007F18B1" w:rsidRDefault="00703ABC" w:rsidP="00E63645">
            <w:pPr>
              <w:spacing w:before="60" w:after="60" w:line="276" w:lineRule="auto"/>
            </w:pPr>
          </w:p>
        </w:tc>
        <w:tc>
          <w:tcPr>
            <w:tcW w:w="1139" w:type="dxa"/>
            <w:tcBorders>
              <w:top w:val="nil"/>
              <w:left w:val="dotted" w:sz="4" w:space="0" w:color="auto"/>
              <w:bottom w:val="dotted" w:sz="4" w:space="0" w:color="auto"/>
            </w:tcBorders>
            <w:tcMar>
              <w:left w:w="57" w:type="dxa"/>
              <w:right w:w="57" w:type="dxa"/>
            </w:tcMar>
            <w:vAlign w:val="center"/>
          </w:tcPr>
          <w:p w:rsidR="00703ABC" w:rsidRPr="007F18B1" w:rsidRDefault="00703ABC" w:rsidP="00E63645">
            <w:pPr>
              <w:spacing w:before="60" w:after="60" w:line="276" w:lineRule="auto"/>
            </w:pPr>
          </w:p>
        </w:tc>
        <w:tc>
          <w:tcPr>
            <w:tcW w:w="1423" w:type="dxa"/>
            <w:tcBorders>
              <w:bottom w:val="single" w:sz="4" w:space="0" w:color="auto"/>
            </w:tcBorders>
            <w:tcMar>
              <w:left w:w="57" w:type="dxa"/>
              <w:right w:w="57" w:type="dxa"/>
            </w:tcMar>
            <w:vAlign w:val="center"/>
          </w:tcPr>
          <w:p w:rsidR="00703ABC" w:rsidRPr="007F18B1" w:rsidRDefault="00703ABC" w:rsidP="00E63645">
            <w:pPr>
              <w:spacing w:before="60" w:after="60" w:line="276" w:lineRule="auto"/>
            </w:pPr>
            <w:r w:rsidRPr="007F18B1">
              <w:t>Konečná hodnota</w:t>
            </w:r>
          </w:p>
        </w:tc>
        <w:tc>
          <w:tcPr>
            <w:tcW w:w="1280" w:type="dxa"/>
            <w:tcBorders>
              <w:bottom w:val="single" w:sz="4" w:space="0" w:color="auto"/>
            </w:tcBorders>
            <w:shd w:val="clear" w:color="auto" w:fill="E7E6E6" w:themeFill="background2"/>
            <w:tcMar>
              <w:left w:w="57" w:type="dxa"/>
              <w:right w:w="57" w:type="dxa"/>
            </w:tcMar>
            <w:vAlign w:val="center"/>
          </w:tcPr>
          <w:p w:rsidR="00703ABC" w:rsidRPr="007F18B1" w:rsidRDefault="00703ABC" w:rsidP="00E63645">
            <w:pPr>
              <w:spacing w:before="60" w:after="60" w:line="276" w:lineRule="auto"/>
              <w:rPr>
                <w:b/>
              </w:rPr>
            </w:pPr>
            <w:r w:rsidRPr="007F18B1">
              <w:rPr>
                <w:b/>
              </w:rPr>
              <w:t>Konečná hodnota</w:t>
            </w:r>
          </w:p>
        </w:tc>
      </w:tr>
    </w:tbl>
    <w:p w:rsidR="00703ABC" w:rsidRDefault="00703ABC" w:rsidP="00703ABC">
      <w:pPr>
        <w:spacing w:after="120" w:line="276" w:lineRule="auto"/>
        <w:jc w:val="both"/>
      </w:pPr>
    </w:p>
    <w:p w:rsidR="00703ABC" w:rsidRDefault="00703ABC" w:rsidP="00703ABC">
      <w:r>
        <w:br w:type="page"/>
      </w:r>
    </w:p>
    <w:p w:rsidR="00703ABC" w:rsidRPr="007F18B1" w:rsidRDefault="00703ABC" w:rsidP="00703ABC">
      <w:pPr>
        <w:spacing w:after="120" w:line="276" w:lineRule="auto"/>
        <w:jc w:val="both"/>
      </w:pPr>
      <w:r w:rsidRPr="007F18B1">
        <w:lastRenderedPageBreak/>
        <w:t xml:space="preserve">Základem tohoto modelu je </w:t>
      </w:r>
      <w:proofErr w:type="spellStart"/>
      <w:r w:rsidRPr="007F18B1">
        <w:t>Kirkpatrickův</w:t>
      </w:r>
      <w:proofErr w:type="spellEnd"/>
      <w:r w:rsidRPr="007F18B1">
        <w:t xml:space="preserve"> přístup k evaluaci, který je zde obohacen o další kroky. Jednotlivé kroky či úrovně evaluace jsou následné, to znamená, že každá z úrovní navazuje na předchozí a neměla by být přeskočena. Jen tak získáme dostatečné množství informaci, které umožní komplexní evaluaci celého vzdělávacího programu</w:t>
      </w:r>
      <w:r w:rsidRPr="007F18B1">
        <w:rPr>
          <w:rStyle w:val="Znakapoznpodarou"/>
        </w:rPr>
        <w:footnoteReference w:id="1"/>
      </w:r>
      <w:r w:rsidRPr="007F18B1">
        <w:t xml:space="preserve">. </w:t>
      </w:r>
    </w:p>
    <w:p w:rsidR="00703ABC" w:rsidRPr="007F18B1" w:rsidRDefault="00703ABC" w:rsidP="00703ABC">
      <w:pPr>
        <w:spacing w:after="120" w:line="276" w:lineRule="auto"/>
        <w:jc w:val="both"/>
      </w:pPr>
    </w:p>
    <w:p w:rsidR="00703ABC" w:rsidRPr="007F18B1" w:rsidRDefault="00703ABC" w:rsidP="00703ABC">
      <w:pPr>
        <w:pStyle w:val="Odstavecseseznamem"/>
        <w:numPr>
          <w:ilvl w:val="0"/>
          <w:numId w:val="2"/>
        </w:numPr>
        <w:spacing w:after="120" w:line="276" w:lineRule="auto"/>
        <w:ind w:left="284" w:hanging="284"/>
        <w:rPr>
          <w:b/>
        </w:rPr>
      </w:pPr>
      <w:r w:rsidRPr="007F18B1">
        <w:rPr>
          <w:b/>
        </w:rPr>
        <w:t>KOMPLEXNÍ MODEL EVALUACE</w:t>
      </w:r>
    </w:p>
    <w:p w:rsidR="00703ABC" w:rsidRPr="007F18B1" w:rsidRDefault="00703ABC" w:rsidP="00703ABC">
      <w:pPr>
        <w:spacing w:after="120" w:line="276" w:lineRule="auto"/>
        <w:jc w:val="both"/>
      </w:pPr>
      <w:r w:rsidRPr="007F18B1">
        <w:t xml:space="preserve">Ve výše uvedené Tabulce 1 je naznačeno, že jednotlivé úrovně evaluace jsou realizovány obvykle v různých fázích plánování a realizace vzdělávací aktivity, která má být evaluována. Před začátkem vzdělávací aktivity realizujeme evaluaci na úrovni Kontextu a Vstupu, v průběhu a na konci vzdělávací aktivity na úrovni Reakce a Učení, po jejím skončení pak na úrovni Chování, Výsledků, Návratnosti investic a Konečné hodnoty. </w:t>
      </w:r>
    </w:p>
    <w:p w:rsidR="00703ABC" w:rsidRPr="007F18B1" w:rsidRDefault="00703ABC" w:rsidP="00703ABC">
      <w:pPr>
        <w:spacing w:after="120" w:line="276" w:lineRule="auto"/>
        <w:jc w:val="both"/>
      </w:pPr>
      <w:r w:rsidRPr="007F18B1">
        <w:t>Nyní se budeme jednotlivým těmto úrovním věnovat podrobněji.</w:t>
      </w:r>
    </w:p>
    <w:p w:rsidR="00703ABC" w:rsidRPr="007F18B1" w:rsidRDefault="00703ABC" w:rsidP="00703ABC">
      <w:pPr>
        <w:spacing w:after="120" w:line="276" w:lineRule="auto"/>
        <w:jc w:val="both"/>
      </w:pPr>
    </w:p>
    <w:p w:rsidR="00703ABC" w:rsidRPr="007F18B1" w:rsidRDefault="00703ABC" w:rsidP="00703ABC">
      <w:pPr>
        <w:pStyle w:val="Odstavecseseznamem"/>
        <w:numPr>
          <w:ilvl w:val="1"/>
          <w:numId w:val="2"/>
        </w:numPr>
        <w:spacing w:after="120" w:line="276" w:lineRule="auto"/>
        <w:ind w:left="567" w:hanging="567"/>
        <w:jc w:val="both"/>
        <w:rPr>
          <w:b/>
        </w:rPr>
      </w:pPr>
      <w:r w:rsidRPr="007F18B1">
        <w:rPr>
          <w:b/>
        </w:rPr>
        <w:t>Kontext a vstup</w:t>
      </w:r>
    </w:p>
    <w:p w:rsidR="00703ABC" w:rsidRPr="007F18B1" w:rsidRDefault="00703ABC" w:rsidP="00703ABC">
      <w:pPr>
        <w:spacing w:after="120" w:line="276" w:lineRule="auto"/>
        <w:jc w:val="both"/>
      </w:pPr>
      <w:r w:rsidRPr="007F18B1">
        <w:t xml:space="preserve">Kontext je, stejně jako vstup, součástí teorie </w:t>
      </w:r>
      <w:proofErr w:type="spellStart"/>
      <w:r w:rsidRPr="007F18B1">
        <w:t>Warra</w:t>
      </w:r>
      <w:proofErr w:type="spellEnd"/>
      <w:r w:rsidRPr="007F18B1">
        <w:t xml:space="preserve">, </w:t>
      </w:r>
      <w:proofErr w:type="spellStart"/>
      <w:r w:rsidRPr="007F18B1">
        <w:t>Birda</w:t>
      </w:r>
      <w:proofErr w:type="spellEnd"/>
      <w:r w:rsidRPr="007F18B1">
        <w:t xml:space="preserve"> a </w:t>
      </w:r>
      <w:proofErr w:type="spellStart"/>
      <w:r w:rsidRPr="007F18B1">
        <w:t>Rackhama</w:t>
      </w:r>
      <w:proofErr w:type="spellEnd"/>
      <w:r w:rsidRPr="007F18B1">
        <w:t>, proto tyto dvě fáze slučujem</w:t>
      </w:r>
      <w:r>
        <w:t>e</w:t>
      </w:r>
      <w:r w:rsidRPr="007F18B1">
        <w:t xml:space="preserve"> do jedné kapitoly. Dá se říci, že hodnocení Kontextu se vlastně vztahuje k tzv. přípravné fázi vzdělávání a rozvoje, která nastupuje před samotnou fází realizační (Vodák</w:t>
      </w:r>
      <w:r>
        <w:t xml:space="preserve"> &amp;</w:t>
      </w:r>
      <w:r w:rsidRPr="007F18B1">
        <w:t xml:space="preserve"> Kucharčíková, </w:t>
      </w:r>
      <w:r>
        <w:t>2007</w:t>
      </w:r>
      <w:r w:rsidRPr="007F18B1">
        <w:t xml:space="preserve">). Kontext se totiž, dle </w:t>
      </w:r>
      <w:proofErr w:type="spellStart"/>
      <w:r w:rsidRPr="007F18B1">
        <w:t>Sadler</w:t>
      </w:r>
      <w:proofErr w:type="spellEnd"/>
      <w:r w:rsidRPr="007F18B1">
        <w:t>-Smithe, týká hodnocení procesu identifikace a analýzy vzdělávacích potřeb (</w:t>
      </w:r>
      <w:proofErr w:type="spellStart"/>
      <w:r w:rsidRPr="007F18B1">
        <w:t>Sadler</w:t>
      </w:r>
      <w:proofErr w:type="spellEnd"/>
      <w:r w:rsidRPr="007F18B1">
        <w:t>-Smith, 2006). Do stejné přípravné fáze spadají i tzv. Vstupy – jedná se zde o vstupy z pozice vzdělávacího či rozvojového projektu, např. metody, poskytovatelé, způsob organ</w:t>
      </w:r>
      <w:r>
        <w:t>izace (</w:t>
      </w:r>
      <w:proofErr w:type="spellStart"/>
      <w:r>
        <w:t>Sadler</w:t>
      </w:r>
      <w:proofErr w:type="spellEnd"/>
      <w:r>
        <w:t>-Smith, 2006</w:t>
      </w:r>
      <w:r w:rsidRPr="007F18B1">
        <w:t xml:space="preserve">). Obě dvě fáze tedy probíhají ještě před zahájením kurzu a evaluují tak především východiska, z nichž se odvíjejí cíle vzdělávacího programu a následné organizační zázemí, včetně voleb způsobů předávání vzdělávacích obsahů. </w:t>
      </w:r>
    </w:p>
    <w:p w:rsidR="00703ABC" w:rsidRPr="007F18B1" w:rsidRDefault="00703ABC" w:rsidP="00703ABC">
      <w:pPr>
        <w:spacing w:after="120" w:line="276" w:lineRule="auto"/>
        <w:jc w:val="both"/>
      </w:pPr>
    </w:p>
    <w:p w:rsidR="00703ABC" w:rsidRPr="007F18B1" w:rsidRDefault="00703ABC" w:rsidP="00703ABC">
      <w:pPr>
        <w:pStyle w:val="Odstavecseseznamem"/>
        <w:numPr>
          <w:ilvl w:val="1"/>
          <w:numId w:val="2"/>
        </w:numPr>
        <w:spacing w:after="120" w:line="276" w:lineRule="auto"/>
        <w:ind w:left="567" w:hanging="567"/>
        <w:jc w:val="both"/>
        <w:rPr>
          <w:b/>
        </w:rPr>
      </w:pPr>
      <w:r w:rsidRPr="007F18B1">
        <w:rPr>
          <w:b/>
        </w:rPr>
        <w:t>Anticipace užitku a (afektivní) reakce</w:t>
      </w:r>
    </w:p>
    <w:p w:rsidR="00703ABC" w:rsidRPr="007F18B1" w:rsidRDefault="00703ABC" w:rsidP="00703ABC">
      <w:pPr>
        <w:spacing w:after="120" w:line="276" w:lineRule="auto"/>
        <w:jc w:val="both"/>
      </w:pPr>
      <w:r w:rsidRPr="007F18B1">
        <w:t xml:space="preserve">Fázi Reakce obsahují všechny teorie (kromě </w:t>
      </w:r>
      <w:proofErr w:type="spellStart"/>
      <w:r w:rsidRPr="007F18B1">
        <w:t>Bramleyho</w:t>
      </w:r>
      <w:proofErr w:type="spellEnd"/>
      <w:r w:rsidRPr="007F18B1">
        <w:t>) zobrazené v Tabulce 1, což určitým způsobem poukazuje na důležitost této fáze hodnocení. Tato úroveň evaluace, kdy zjišťujeme odpověď na otázku, jak se účastníkům vzdělávací akce líbila, je považována za základní a nejčastěji prováděnou, navíc se vyznačuje největším procentem návratnosti nástrojů jednotlivých evaluačních technik (</w:t>
      </w:r>
      <w:proofErr w:type="spellStart"/>
      <w:r w:rsidRPr="007F18B1">
        <w:t>Phillips</w:t>
      </w:r>
      <w:proofErr w:type="spellEnd"/>
      <w:r w:rsidRPr="007F18B1">
        <w:t xml:space="preserve">, 2003), což ji staví do pozice fáze, ve které je relativně snadné získat informace. </w:t>
      </w:r>
      <w:proofErr w:type="spellStart"/>
      <w:r w:rsidRPr="007F18B1">
        <w:t>Kirkpatrick</w:t>
      </w:r>
      <w:proofErr w:type="spellEnd"/>
      <w:r w:rsidRPr="007F18B1">
        <w:t xml:space="preserve"> považuje měření na úrovni Reakce za podobné měření zákaznické spokojenosti a spojuje ji výrazně s motivací se učit. Zároveň označuje tuto </w:t>
      </w:r>
      <w:proofErr w:type="gramStart"/>
      <w:r w:rsidRPr="007F18B1">
        <w:t>část</w:t>
      </w:r>
      <w:proofErr w:type="gramEnd"/>
      <w:r w:rsidRPr="007F18B1">
        <w:t xml:space="preserve"> a především její podobu, tedy pozitivní nebo negativní Reakci za velmi důležitou pro další fáze (</w:t>
      </w:r>
      <w:proofErr w:type="spellStart"/>
      <w:r w:rsidRPr="007F18B1">
        <w:t>Kirkpatrick</w:t>
      </w:r>
      <w:proofErr w:type="spellEnd"/>
      <w:r>
        <w:t xml:space="preserve"> &amp;</w:t>
      </w:r>
      <w:r w:rsidRPr="007F18B1">
        <w:t xml:space="preserve"> </w:t>
      </w:r>
      <w:proofErr w:type="spellStart"/>
      <w:r w:rsidRPr="007F18B1">
        <w:t>Kirkpatrick</w:t>
      </w:r>
      <w:proofErr w:type="spellEnd"/>
      <w:r w:rsidRPr="007F18B1">
        <w:t xml:space="preserve">, 2006). V tomto bodě se rozchází s dalšími teoretiky, kteří vztah mezi Reakcí, Učením a Chováním nevidí jako prokazatelný. </w:t>
      </w:r>
      <w:proofErr w:type="spellStart"/>
      <w:r w:rsidRPr="007F18B1">
        <w:t>Alliger</w:t>
      </w:r>
      <w:proofErr w:type="spellEnd"/>
      <w:r w:rsidRPr="007F18B1">
        <w:t xml:space="preserve"> a </w:t>
      </w:r>
      <w:proofErr w:type="spellStart"/>
      <w:r w:rsidRPr="007F18B1">
        <w:t>Janak</w:t>
      </w:r>
      <w:proofErr w:type="spellEnd"/>
      <w:r w:rsidRPr="007F18B1">
        <w:t xml:space="preserve"> předkládají výsledky výzkumu, který zaměřili právě na korelace mezi těmito proměnnými a který cituje </w:t>
      </w:r>
      <w:proofErr w:type="spellStart"/>
      <w:r w:rsidRPr="007F18B1">
        <w:t>Sadler</w:t>
      </w:r>
      <w:proofErr w:type="spellEnd"/>
      <w:r w:rsidRPr="007F18B1">
        <w:t>-Smith. Mezi Reakcí a Učením zjistili korelaci v hodnotě 0,07 a mezi Reakcí a Chováním</w:t>
      </w:r>
      <w:r>
        <w:t xml:space="preserve"> 0,05 (</w:t>
      </w:r>
      <w:proofErr w:type="spellStart"/>
      <w:r>
        <w:t>Sadler</w:t>
      </w:r>
      <w:proofErr w:type="spellEnd"/>
      <w:r>
        <w:t>-Smith, 2006</w:t>
      </w:r>
      <w:r w:rsidRPr="007F18B1">
        <w:t xml:space="preserve">), což by se dalo v některých případech považovat téměř za statistickou chybu. </w:t>
      </w:r>
    </w:p>
    <w:p w:rsidR="00703ABC" w:rsidRPr="007F18B1" w:rsidRDefault="00703ABC" w:rsidP="00703ABC">
      <w:pPr>
        <w:spacing w:after="120" w:line="276" w:lineRule="auto"/>
        <w:jc w:val="both"/>
      </w:pPr>
      <w:r w:rsidRPr="007F18B1">
        <w:lastRenderedPageBreak/>
        <w:t xml:space="preserve">Do hry zde však vstupuje další </w:t>
      </w:r>
      <w:proofErr w:type="spellStart"/>
      <w:r w:rsidRPr="007F18B1">
        <w:t>subúroveň</w:t>
      </w:r>
      <w:proofErr w:type="spellEnd"/>
      <w:r w:rsidRPr="007F18B1">
        <w:t xml:space="preserve"> Reakcí, a tou je anticipace využitelnosti. Tu </w:t>
      </w:r>
      <w:proofErr w:type="spellStart"/>
      <w:r w:rsidRPr="007F18B1">
        <w:t>Sadler</w:t>
      </w:r>
      <w:proofErr w:type="spellEnd"/>
      <w:r w:rsidRPr="007F18B1">
        <w:t xml:space="preserve">-Smith vyčleňuje z </w:t>
      </w:r>
      <w:proofErr w:type="spellStart"/>
      <w:r w:rsidRPr="007F18B1">
        <w:t>Phillipsovy</w:t>
      </w:r>
      <w:proofErr w:type="spellEnd"/>
      <w:r w:rsidRPr="007F18B1">
        <w:t xml:space="preserve"> úrovně Reakce a plánu impleme</w:t>
      </w:r>
      <w:r>
        <w:t>ntace (</w:t>
      </w:r>
      <w:proofErr w:type="spellStart"/>
      <w:r>
        <w:t>Sadler</w:t>
      </w:r>
      <w:proofErr w:type="spellEnd"/>
      <w:r>
        <w:t>-Smith, 2006</w:t>
      </w:r>
      <w:r w:rsidRPr="007F18B1">
        <w:t xml:space="preserve">). Anticipaci využitelnosti </w:t>
      </w:r>
      <w:proofErr w:type="spellStart"/>
      <w:r w:rsidRPr="007F18B1">
        <w:t>Sadler</w:t>
      </w:r>
      <w:proofErr w:type="spellEnd"/>
      <w:r w:rsidRPr="007F18B1">
        <w:t xml:space="preserve">-Smith vymezuje v rovině plánů implementace – tu následně definuje jako míru relevantnosti vzdělávacích obsahů k výkonu práce a míru, kterou tyto obsahy mohou zvyšovat pracovní výkon. </w:t>
      </w:r>
    </w:p>
    <w:p w:rsidR="00703ABC" w:rsidRPr="007F18B1" w:rsidRDefault="00703ABC" w:rsidP="00703ABC">
      <w:pPr>
        <w:spacing w:after="120" w:line="276" w:lineRule="auto"/>
        <w:jc w:val="both"/>
      </w:pPr>
      <w:r w:rsidRPr="007F18B1">
        <w:t xml:space="preserve">Vidíme tedy, že takto rozdělená úroveň Reakce na část očekávaného užitku a část (afektivní) reakce může překlenout nesrovnalostí </w:t>
      </w:r>
      <w:proofErr w:type="spellStart"/>
      <w:r w:rsidRPr="007F18B1">
        <w:t>Kirkpatrickova</w:t>
      </w:r>
      <w:proofErr w:type="spellEnd"/>
      <w:r w:rsidRPr="007F18B1">
        <w:t xml:space="preserve"> modelu a modelů dalších, kteří neshledávají úroveň Reakce vztaženou k úrovním Učení a Chování. V duchu afektivní Reakce bychom mohli požadovat pozitivní reakci jako jedinou možnou variantu hodnocení v této úrovni se záměrem co nejefektivnějšího přenosu do další fáze. Pokud však přistoupíme na argumenty uvedené výše, tedy že ne každý vzdělávací program musí vzbuzovat pozitivní afektivní Reakce a připojíme výsledky výzkumů </w:t>
      </w:r>
      <w:proofErr w:type="spellStart"/>
      <w:r w:rsidRPr="007F18B1">
        <w:t>Alligera</w:t>
      </w:r>
      <w:proofErr w:type="spellEnd"/>
      <w:r w:rsidRPr="007F18B1">
        <w:t xml:space="preserve"> a </w:t>
      </w:r>
      <w:proofErr w:type="spellStart"/>
      <w:r w:rsidRPr="007F18B1">
        <w:t>Janakové</w:t>
      </w:r>
      <w:proofErr w:type="spellEnd"/>
      <w:r w:rsidRPr="007F18B1">
        <w:t>, zdá se koncept anticipace využitelnosti být dobrým krokem při rozřešení tohoto zdánlivého paradoxu.</w:t>
      </w:r>
    </w:p>
    <w:p w:rsidR="00703ABC" w:rsidRPr="007F18B1" w:rsidRDefault="00703ABC" w:rsidP="00703ABC">
      <w:pPr>
        <w:spacing w:after="120" w:line="276" w:lineRule="auto"/>
        <w:jc w:val="both"/>
        <w:rPr>
          <w:sz w:val="23"/>
          <w:szCs w:val="23"/>
        </w:rPr>
      </w:pPr>
      <w:r w:rsidRPr="007F18B1">
        <w:t xml:space="preserve">Na této úrovni evaluace hraje klíčovou roli motivace účastníků. </w:t>
      </w:r>
      <w:r w:rsidRPr="00DD5510">
        <w:t xml:space="preserve">Ta do značné míry závisí na anticipaci užitku a ovlivňuje výsledky evaluace na úrovni Reakce (složenou jak z afektivního hodnocení, tak z předpokladu využitelnosti. </w:t>
      </w:r>
      <w:r w:rsidRPr="007F18B1">
        <w:rPr>
          <w:sz w:val="23"/>
          <w:szCs w:val="23"/>
        </w:rPr>
        <w:t xml:space="preserve">S motivací pracuje např. </w:t>
      </w:r>
      <w:proofErr w:type="spellStart"/>
      <w:r w:rsidRPr="007F18B1">
        <w:rPr>
          <w:sz w:val="23"/>
          <w:szCs w:val="23"/>
        </w:rPr>
        <w:t>Kirkpatrick</w:t>
      </w:r>
      <w:proofErr w:type="spellEnd"/>
      <w:r w:rsidRPr="007F18B1">
        <w:rPr>
          <w:sz w:val="23"/>
          <w:szCs w:val="23"/>
        </w:rPr>
        <w:t>, který uvádí, že pokud budou účastníci reagovat nepříznivě, nebudou zřejmě motivování k učení (</w:t>
      </w:r>
      <w:proofErr w:type="spellStart"/>
      <w:r w:rsidRPr="007F18B1">
        <w:rPr>
          <w:sz w:val="23"/>
          <w:szCs w:val="23"/>
        </w:rPr>
        <w:t>Kirkpatrick</w:t>
      </w:r>
      <w:proofErr w:type="spellEnd"/>
      <w:r>
        <w:rPr>
          <w:sz w:val="23"/>
          <w:szCs w:val="23"/>
        </w:rPr>
        <w:t xml:space="preserve"> &amp;</w:t>
      </w:r>
      <w:r w:rsidRPr="007F18B1">
        <w:rPr>
          <w:sz w:val="23"/>
          <w:szCs w:val="23"/>
        </w:rPr>
        <w:t xml:space="preserve"> </w:t>
      </w:r>
      <w:proofErr w:type="spellStart"/>
      <w:r w:rsidRPr="007F18B1">
        <w:rPr>
          <w:sz w:val="23"/>
          <w:szCs w:val="23"/>
        </w:rPr>
        <w:t>Kirkpatrick</w:t>
      </w:r>
      <w:proofErr w:type="spellEnd"/>
      <w:r w:rsidRPr="007F18B1">
        <w:rPr>
          <w:sz w:val="23"/>
          <w:szCs w:val="23"/>
        </w:rPr>
        <w:t xml:space="preserve">, 2006). K tomuto faktu můžeme ovšem přistupovat sofistikovaněji z pohledu jednotlivých motivačních teorií, z těch známějších pak např. z úhlu pohledu </w:t>
      </w:r>
      <w:proofErr w:type="spellStart"/>
      <w:r w:rsidRPr="007F18B1">
        <w:rPr>
          <w:sz w:val="23"/>
          <w:szCs w:val="23"/>
        </w:rPr>
        <w:t>Herzberga</w:t>
      </w:r>
      <w:proofErr w:type="spellEnd"/>
      <w:r w:rsidRPr="007F18B1">
        <w:rPr>
          <w:sz w:val="23"/>
          <w:szCs w:val="23"/>
        </w:rPr>
        <w:t xml:space="preserve">, </w:t>
      </w:r>
      <w:proofErr w:type="spellStart"/>
      <w:r w:rsidRPr="007F18B1">
        <w:rPr>
          <w:sz w:val="23"/>
          <w:szCs w:val="23"/>
        </w:rPr>
        <w:t>Maslowa</w:t>
      </w:r>
      <w:proofErr w:type="spellEnd"/>
      <w:r w:rsidRPr="007F18B1">
        <w:rPr>
          <w:sz w:val="23"/>
          <w:szCs w:val="23"/>
        </w:rPr>
        <w:t xml:space="preserve"> či </w:t>
      </w:r>
      <w:proofErr w:type="spellStart"/>
      <w:r w:rsidRPr="007F18B1">
        <w:rPr>
          <w:sz w:val="23"/>
          <w:szCs w:val="23"/>
        </w:rPr>
        <w:t>Alderfera</w:t>
      </w:r>
      <w:proofErr w:type="spellEnd"/>
      <w:r w:rsidRPr="007F18B1">
        <w:rPr>
          <w:sz w:val="23"/>
          <w:szCs w:val="23"/>
        </w:rPr>
        <w:t xml:space="preserve">. I ve vzdělávacím programu totiž platí, že existují prvky (v </w:t>
      </w:r>
      <w:proofErr w:type="spellStart"/>
      <w:r w:rsidRPr="007F18B1">
        <w:rPr>
          <w:sz w:val="23"/>
          <w:szCs w:val="23"/>
        </w:rPr>
        <w:t>Herzbergově</w:t>
      </w:r>
      <w:proofErr w:type="spellEnd"/>
      <w:r w:rsidRPr="007F18B1">
        <w:rPr>
          <w:sz w:val="23"/>
          <w:szCs w:val="23"/>
        </w:rPr>
        <w:t xml:space="preserve"> terminologii hygienické faktory či </w:t>
      </w:r>
      <w:proofErr w:type="spellStart"/>
      <w:r w:rsidRPr="007F18B1">
        <w:rPr>
          <w:sz w:val="23"/>
          <w:szCs w:val="23"/>
        </w:rPr>
        <w:t>dissatisfaktory</w:t>
      </w:r>
      <w:proofErr w:type="spellEnd"/>
      <w:r w:rsidRPr="007F18B1">
        <w:rPr>
          <w:sz w:val="23"/>
          <w:szCs w:val="23"/>
        </w:rPr>
        <w:t xml:space="preserve">), které </w:t>
      </w:r>
      <w:r w:rsidRPr="007F18B1">
        <w:rPr>
          <w:rFonts w:ascii="Calibri" w:hAnsi="Calibri"/>
        </w:rPr>
        <w:t xml:space="preserve">mohou sloužit jako prevence nespokojenosti, samy však spokojenost nevyvolávají (například </w:t>
      </w:r>
      <w:r w:rsidRPr="007F18B1">
        <w:rPr>
          <w:rFonts w:ascii="Calibri" w:hAnsi="Calibri"/>
          <w:bCs/>
        </w:rPr>
        <w:t xml:space="preserve">prostory, v nichž se vzdělávací akce realizuje, a jejich vybavení, vztahy s ostatními učícími se, </w:t>
      </w:r>
      <w:r w:rsidRPr="007F18B1">
        <w:rPr>
          <w:rFonts w:ascii="Calibri" w:hAnsi="Calibri"/>
        </w:rPr>
        <w:t xml:space="preserve">dodržování časového harmonogramu, střídání práce a odpočinku, osobnost a přístup lektora apod.), a prvky (motivátory či </w:t>
      </w:r>
      <w:proofErr w:type="spellStart"/>
      <w:r w:rsidRPr="007F18B1">
        <w:rPr>
          <w:rFonts w:ascii="Calibri" w:hAnsi="Calibri"/>
        </w:rPr>
        <w:t>satisfaktory</w:t>
      </w:r>
      <w:proofErr w:type="spellEnd"/>
      <w:r w:rsidRPr="007F18B1">
        <w:rPr>
          <w:rFonts w:ascii="Calibri" w:hAnsi="Calibri"/>
        </w:rPr>
        <w:t>), které mohou spokojenost účastníků pozitivně ovlivnit (například úspěch, uznání, profesní růst atd.)</w:t>
      </w:r>
      <w:r w:rsidRPr="007F18B1">
        <w:rPr>
          <w:sz w:val="23"/>
          <w:szCs w:val="23"/>
        </w:rPr>
        <w:t xml:space="preserve"> (</w:t>
      </w:r>
      <w:proofErr w:type="spellStart"/>
      <w:r w:rsidRPr="007F18B1">
        <w:rPr>
          <w:sz w:val="23"/>
          <w:szCs w:val="23"/>
        </w:rPr>
        <w:t>Kermally</w:t>
      </w:r>
      <w:proofErr w:type="spellEnd"/>
      <w:r w:rsidRPr="007F18B1">
        <w:rPr>
          <w:sz w:val="23"/>
          <w:szCs w:val="23"/>
        </w:rPr>
        <w:t xml:space="preserve">, 2005). Pokud bychom využili </w:t>
      </w:r>
      <w:proofErr w:type="spellStart"/>
      <w:r w:rsidRPr="007F18B1">
        <w:rPr>
          <w:sz w:val="23"/>
          <w:szCs w:val="23"/>
        </w:rPr>
        <w:t>Maslowovu</w:t>
      </w:r>
      <w:proofErr w:type="spellEnd"/>
      <w:r w:rsidRPr="007F18B1">
        <w:rPr>
          <w:sz w:val="23"/>
          <w:szCs w:val="23"/>
        </w:rPr>
        <w:t xml:space="preserve"> teorii, bezpochyby bychom našli určité potřeby (fyziologické – v tomto případě především adekvátní smyslovou stimulaci, potřeba bezpečí – v případě vzdělávání nejen fyzického, ale také psychického), které musejí být nejprve naplněny, abychom mohli směřovat k potřebám vyšším, v tomto případě nejspíše až k sebenaplnění (Schneider, </w:t>
      </w:r>
      <w:proofErr w:type="spellStart"/>
      <w:r w:rsidRPr="007F18B1">
        <w:rPr>
          <w:sz w:val="23"/>
          <w:szCs w:val="23"/>
        </w:rPr>
        <w:t>Alderfer</w:t>
      </w:r>
      <w:proofErr w:type="spellEnd"/>
      <w:r w:rsidRPr="007F18B1">
        <w:rPr>
          <w:sz w:val="23"/>
          <w:szCs w:val="23"/>
        </w:rPr>
        <w:t xml:space="preserve">, 1973). A konečně může nastat i situace, kdy se při vzdělávací akci zorientujeme výrazně směrem k dimenzi </w:t>
      </w:r>
      <w:proofErr w:type="gramStart"/>
      <w:r w:rsidRPr="007F18B1">
        <w:rPr>
          <w:sz w:val="23"/>
          <w:szCs w:val="23"/>
        </w:rPr>
        <w:t>vztahů,</w:t>
      </w:r>
      <w:proofErr w:type="gramEnd"/>
      <w:r w:rsidRPr="007F18B1">
        <w:rPr>
          <w:sz w:val="23"/>
          <w:szCs w:val="23"/>
        </w:rPr>
        <w:t xml:space="preserve"> než k výkonu při samotném tréninku</w:t>
      </w:r>
      <w:r>
        <w:rPr>
          <w:sz w:val="23"/>
          <w:szCs w:val="23"/>
        </w:rPr>
        <w:t>, tedy že při nemožnosti uspokojit potřeby růstu hledáme uspokojení potřeb sociálních</w:t>
      </w:r>
      <w:r w:rsidRPr="007F18B1">
        <w:rPr>
          <w:sz w:val="23"/>
          <w:szCs w:val="23"/>
        </w:rPr>
        <w:t xml:space="preserve"> </w:t>
      </w:r>
      <w:r>
        <w:rPr>
          <w:sz w:val="23"/>
          <w:szCs w:val="23"/>
        </w:rPr>
        <w:t>(</w:t>
      </w:r>
      <w:r w:rsidRPr="007F18B1">
        <w:rPr>
          <w:sz w:val="23"/>
          <w:szCs w:val="23"/>
        </w:rPr>
        <w:t xml:space="preserve">např. Bělohlávek, 1996). Tyto výroky potvrzuje i </w:t>
      </w:r>
      <w:proofErr w:type="spellStart"/>
      <w:r w:rsidRPr="007F18B1">
        <w:rPr>
          <w:sz w:val="23"/>
          <w:szCs w:val="23"/>
        </w:rPr>
        <w:t>Hamblin</w:t>
      </w:r>
      <w:proofErr w:type="spellEnd"/>
      <w:r w:rsidRPr="007F18B1">
        <w:rPr>
          <w:sz w:val="23"/>
          <w:szCs w:val="23"/>
        </w:rPr>
        <w:t>, který uvádí, že účastníci nereagují pouze na vzdělávací obsah, lektora a používanou metodu, ale také na upravení podmínek či na sebe navzájem (</w:t>
      </w:r>
      <w:proofErr w:type="spellStart"/>
      <w:r w:rsidRPr="007F18B1">
        <w:rPr>
          <w:sz w:val="23"/>
          <w:szCs w:val="23"/>
        </w:rPr>
        <w:t>Hamblin</w:t>
      </w:r>
      <w:proofErr w:type="spellEnd"/>
      <w:r w:rsidRPr="007F18B1">
        <w:rPr>
          <w:sz w:val="23"/>
          <w:szCs w:val="23"/>
        </w:rPr>
        <w:t>, 1974).</w:t>
      </w:r>
    </w:p>
    <w:p w:rsidR="00703ABC" w:rsidRPr="007F18B1" w:rsidRDefault="00703ABC" w:rsidP="00703ABC">
      <w:pPr>
        <w:spacing w:after="120" w:line="276" w:lineRule="auto"/>
        <w:jc w:val="both"/>
      </w:pPr>
      <w:r w:rsidRPr="007F18B1">
        <w:t xml:space="preserve">Mezi faktory, které mohou hrát roli, resp. které mohou ovlivňovat Reakce účastníků na danou vzdělávací aktivitu, tedy patří např. kvalita prostředí a prostor, v nichž se edukační proces odehrává (světlo, teplo, možnost větrání, dostatek místa, uspořádání židlí a stolů, nerušená možnost vidět na lektora, ale i kvalita a kvantita občerstvení apod.), využité metody a pomůcky (jejich atraktivita, jasnost a srozumitelnost), lektor (jeho odborné, didaktické, komunikační a rétorické kompetence a jeho osobnost), ostatní učící se (vztahy, způsob komunikace, „narušitelé“ výuky) a samozřejmě očekávání, která účastníci od vzdělávací akce mají.  </w:t>
      </w:r>
    </w:p>
    <w:p w:rsidR="00703ABC" w:rsidRPr="007F18B1" w:rsidRDefault="00703ABC" w:rsidP="00703ABC">
      <w:pPr>
        <w:spacing w:after="120" w:line="276" w:lineRule="auto"/>
        <w:jc w:val="both"/>
      </w:pPr>
      <w:r w:rsidRPr="007F18B1">
        <w:t xml:space="preserve">Z výše uvedeného je patrné, že úroveň Reakce, a především její afektivní </w:t>
      </w:r>
      <w:proofErr w:type="spellStart"/>
      <w:r w:rsidRPr="007F18B1">
        <w:t>subúroveň</w:t>
      </w:r>
      <w:proofErr w:type="spellEnd"/>
      <w:r w:rsidRPr="007F18B1">
        <w:t xml:space="preserve">, může při hodnocení přínosů vzdělávání sehrát výraznou roli a příčiny, které tuto reakci ovlivňují, jsou po jeho hodnocení hodné zaměření pozornosti – jsou totiž určitou vstupní branou celého procesu, který (s </w:t>
      </w:r>
      <w:r w:rsidRPr="007F18B1">
        <w:lastRenderedPageBreak/>
        <w:t>přihlédnutím k výše uvedené roli motivace ve vzorci výpočtu celkového efektu) určuje, kolik z předávaných vstupů od lektora účastník přijme a v jaké kvalitě. To pak s odkazem na propojení jednotlivých úrovní určuje, kolik z předávaného obsahu je schopen účastník převést do úrovně Učení a následně praktikovat v úrovni Chování. Vliv těchto transferů na poslední úroveň Výsledků pak zřejmě není třeba příliš zdůrazňovat.</w:t>
      </w:r>
    </w:p>
    <w:p w:rsidR="00703ABC" w:rsidRPr="007F18B1" w:rsidRDefault="00703ABC" w:rsidP="00703ABC">
      <w:pPr>
        <w:spacing w:after="120" w:line="276" w:lineRule="auto"/>
        <w:jc w:val="both"/>
        <w:rPr>
          <w:sz w:val="23"/>
          <w:szCs w:val="23"/>
        </w:rPr>
      </w:pPr>
      <w:r w:rsidRPr="007F18B1">
        <w:rPr>
          <w:sz w:val="23"/>
          <w:szCs w:val="23"/>
        </w:rPr>
        <w:t xml:space="preserve"> </w:t>
      </w:r>
    </w:p>
    <w:p w:rsidR="00703ABC" w:rsidRPr="007F18B1" w:rsidRDefault="00703ABC" w:rsidP="00703ABC">
      <w:pPr>
        <w:pStyle w:val="Odstavecseseznamem"/>
        <w:numPr>
          <w:ilvl w:val="1"/>
          <w:numId w:val="2"/>
        </w:numPr>
        <w:spacing w:after="120" w:line="276" w:lineRule="auto"/>
        <w:ind w:left="567" w:hanging="567"/>
        <w:jc w:val="both"/>
      </w:pPr>
      <w:r w:rsidRPr="007F18B1">
        <w:rPr>
          <w:b/>
        </w:rPr>
        <w:t>Učení</w:t>
      </w:r>
    </w:p>
    <w:p w:rsidR="00703ABC" w:rsidRPr="007F18B1" w:rsidRDefault="00703ABC" w:rsidP="00703ABC">
      <w:pPr>
        <w:spacing w:after="120" w:line="276" w:lineRule="auto"/>
        <w:jc w:val="both"/>
      </w:pPr>
      <w:r w:rsidRPr="007F18B1">
        <w:t xml:space="preserve">Učení se, jak je vidět v souhrnu v Tabulce 1, rozpadá do tří oblastí. Jsou jimi získané znalosti, dovednosti a změny postojů. Na této úrovni evaluace se tedy snažíme zjistit odpovědi na otázku, zda se účastníci v průběhu dané vzdělávací aktivity naučili to, co bylo plánováno. </w:t>
      </w:r>
    </w:p>
    <w:p w:rsidR="00703ABC" w:rsidRPr="007F18B1" w:rsidRDefault="00703ABC" w:rsidP="00703ABC">
      <w:pPr>
        <w:spacing w:after="120" w:line="276" w:lineRule="auto"/>
        <w:jc w:val="both"/>
      </w:pPr>
      <w:r w:rsidRPr="007F18B1">
        <w:t xml:space="preserve">Mezi faktory, které ovlivňují kvalitu Učení, patří především stanovené cíle (jejich reálnost, dosažitelnost, návaznost na provedenou analýzu vzdělávacích potřeb), obsah (jeho korespondence s cíli, přiměřenost), využité metody a pomůcky (jejich adekvátnost) a dodržování didaktických principů (přiměřenosti, trvalosti, aktivity, názornosti, soustavnosti). </w:t>
      </w:r>
    </w:p>
    <w:p w:rsidR="00703ABC" w:rsidRPr="007F18B1" w:rsidRDefault="00703ABC" w:rsidP="00703ABC">
      <w:pPr>
        <w:spacing w:after="120" w:line="276" w:lineRule="auto"/>
        <w:jc w:val="both"/>
      </w:pPr>
    </w:p>
    <w:p w:rsidR="00703ABC" w:rsidRPr="007F18B1" w:rsidRDefault="00703ABC" w:rsidP="00703ABC">
      <w:pPr>
        <w:pStyle w:val="Odstavecseseznamem"/>
        <w:numPr>
          <w:ilvl w:val="1"/>
          <w:numId w:val="2"/>
        </w:numPr>
        <w:spacing w:after="120" w:line="276" w:lineRule="auto"/>
        <w:ind w:left="567" w:hanging="567"/>
        <w:jc w:val="both"/>
        <w:rPr>
          <w:sz w:val="23"/>
          <w:szCs w:val="23"/>
        </w:rPr>
      </w:pPr>
      <w:r w:rsidRPr="007F18B1">
        <w:rPr>
          <w:b/>
          <w:sz w:val="23"/>
          <w:szCs w:val="23"/>
        </w:rPr>
        <w:t>Chování</w:t>
      </w:r>
    </w:p>
    <w:p w:rsidR="00703ABC" w:rsidRDefault="00703ABC" w:rsidP="00703ABC">
      <w:pPr>
        <w:spacing w:after="120" w:line="276" w:lineRule="auto"/>
        <w:jc w:val="both"/>
      </w:pPr>
      <w:r w:rsidRPr="00452CFE">
        <w:t xml:space="preserve">U propojení učební situace a situace využití získaných obsahů se dostáváme do fáze Chování. Ta je určitým propojením účastníka a jeho prostředí, které umožňuje nebo znesnadňuje využití znalostí či dovedností získaných ve fázi Učení. Tato fáze učebního procesu a následného hodnocení bývá přitom považována za dlouhodobější z hlediska doby objevení se jak Chování, tak jeho efektů. Tento fakt je reflektován v modelu </w:t>
      </w:r>
      <w:proofErr w:type="spellStart"/>
      <w:r w:rsidRPr="00452CFE">
        <w:t>Warra</w:t>
      </w:r>
      <w:proofErr w:type="spellEnd"/>
      <w:r w:rsidRPr="00452CFE">
        <w:t xml:space="preserve">, </w:t>
      </w:r>
      <w:proofErr w:type="spellStart"/>
      <w:r w:rsidRPr="00452CFE">
        <w:t>Birda</w:t>
      </w:r>
      <w:proofErr w:type="spellEnd"/>
      <w:r w:rsidRPr="00452CFE">
        <w:t xml:space="preserve"> a </w:t>
      </w:r>
      <w:proofErr w:type="spellStart"/>
      <w:r w:rsidRPr="00452CFE">
        <w:t>Rackhama</w:t>
      </w:r>
      <w:proofErr w:type="spellEnd"/>
      <w:r w:rsidRPr="00452CFE">
        <w:t xml:space="preserve">, kteří tuto fázi označují termínem střednědobé výstupy, v čemž se odráží snaha autorů předkládat změnu pracovního Chování jako postupnou. </w:t>
      </w:r>
    </w:p>
    <w:p w:rsidR="00703ABC" w:rsidRDefault="00703ABC" w:rsidP="00703ABC">
      <w:pPr>
        <w:spacing w:after="120" w:line="276" w:lineRule="auto"/>
        <w:jc w:val="both"/>
      </w:pPr>
      <w:r w:rsidRPr="00452CFE">
        <w:t>Účastníci nemohou změnit své chování, dokud k tomu nemají příležitost (</w:t>
      </w:r>
      <w:proofErr w:type="spellStart"/>
      <w:r w:rsidRPr="00452CFE">
        <w:t>Kirkpatrick</w:t>
      </w:r>
      <w:proofErr w:type="spellEnd"/>
      <w:r>
        <w:t xml:space="preserve"> &amp;</w:t>
      </w:r>
      <w:r w:rsidRPr="00452CFE">
        <w:t xml:space="preserve"> </w:t>
      </w:r>
      <w:proofErr w:type="spellStart"/>
      <w:r w:rsidRPr="00452CFE">
        <w:t>Kirkpatrick</w:t>
      </w:r>
      <w:proofErr w:type="spellEnd"/>
      <w:r w:rsidRPr="00452CFE">
        <w:t>, 2006</w:t>
      </w:r>
      <w:r>
        <w:t xml:space="preserve">), transfer naučeného do praxe tedy může být usnadněn nebo ztížen různými faktory, mezi které patří např. podmínky pracovního prostředí (umožnění využít naučené v praxi), přístup nadřízených a/nebo kolegů, určitý druh odměny za výkon (zvýšení platu, povýšení, uznání, usnadnění práce, zrychlení práce apod.). </w:t>
      </w:r>
    </w:p>
    <w:p w:rsidR="00703ABC" w:rsidRDefault="00703ABC" w:rsidP="00703ABC">
      <w:pPr>
        <w:spacing w:after="120" w:line="276" w:lineRule="auto"/>
        <w:jc w:val="both"/>
      </w:pPr>
    </w:p>
    <w:p w:rsidR="00703ABC" w:rsidRPr="00B558A1" w:rsidRDefault="00703ABC" w:rsidP="00703ABC">
      <w:pPr>
        <w:pStyle w:val="Odstavecseseznamem"/>
        <w:numPr>
          <w:ilvl w:val="1"/>
          <w:numId w:val="2"/>
        </w:numPr>
        <w:spacing w:after="120" w:line="276" w:lineRule="auto"/>
        <w:ind w:left="567" w:hanging="567"/>
        <w:jc w:val="both"/>
        <w:rPr>
          <w:b/>
          <w:sz w:val="23"/>
          <w:szCs w:val="23"/>
        </w:rPr>
      </w:pPr>
      <w:r w:rsidRPr="00B558A1">
        <w:rPr>
          <w:b/>
          <w:sz w:val="23"/>
          <w:szCs w:val="23"/>
        </w:rPr>
        <w:t>Výsledky</w:t>
      </w:r>
    </w:p>
    <w:p w:rsidR="00703ABC" w:rsidRDefault="00703ABC" w:rsidP="00703ABC">
      <w:pPr>
        <w:spacing w:after="120" w:line="276" w:lineRule="auto"/>
        <w:jc w:val="both"/>
      </w:pPr>
      <w:r w:rsidRPr="00726B9C">
        <w:t>Fáze Výsledků umožňuje zjistit, zda je Chování pro organizaci efektivní – umožňuje určit, jaké konečné přínosy mělo zapojení do vzdělávacího programu (</w:t>
      </w:r>
      <w:proofErr w:type="spellStart"/>
      <w:r w:rsidRPr="00726B9C">
        <w:t>Kirkpatrick</w:t>
      </w:r>
      <w:proofErr w:type="spellEnd"/>
      <w:r>
        <w:t xml:space="preserve"> &amp;</w:t>
      </w:r>
      <w:r w:rsidRPr="00726B9C">
        <w:t xml:space="preserve"> </w:t>
      </w:r>
      <w:proofErr w:type="spellStart"/>
      <w:r w:rsidRPr="00726B9C">
        <w:t>Kirkpatrick</w:t>
      </w:r>
      <w:proofErr w:type="spellEnd"/>
      <w:r w:rsidRPr="00726B9C">
        <w:t xml:space="preserve">, 2006). Tato fáze je završením celého </w:t>
      </w:r>
      <w:r>
        <w:t>procesu evaluace</w:t>
      </w:r>
      <w:r w:rsidRPr="00726B9C">
        <w:t xml:space="preserve">, nicméně někteří autoři tuto fázi rozdělují do jistých </w:t>
      </w:r>
      <w:proofErr w:type="spellStart"/>
      <w:r w:rsidRPr="00726B9C">
        <w:t>podkroků</w:t>
      </w:r>
      <w:proofErr w:type="spellEnd"/>
      <w:r w:rsidRPr="00726B9C">
        <w:t>. Setkáváme se tak s kategoriemi obchodních výsledků, návratnosti investic a</w:t>
      </w:r>
      <w:r>
        <w:t xml:space="preserve"> </w:t>
      </w:r>
      <w:r w:rsidRPr="00726B9C">
        <w:t>konečného přínosu. Toto rozdělení však neshledáváme natolik důležitým, abychom tuto kategorii systematicky do těchto bodů členili, zůstaneme tedy u používání ucelené kategorie Výsledků.</w:t>
      </w:r>
    </w:p>
    <w:p w:rsidR="00703ABC" w:rsidRDefault="00703ABC" w:rsidP="00703ABC">
      <w:pPr>
        <w:spacing w:after="120" w:line="276" w:lineRule="auto"/>
        <w:jc w:val="both"/>
      </w:pPr>
      <w:r w:rsidRPr="00B80848">
        <w:t>Závěrečná zpětná vazba v podobě výsledků umožňuje zjistit, zda program směřuje k naplnění stanovených cílů organizace, a to přes předcházející fáze, tedy Chování, Učení a Reakci. Na základě těchto informací můžeme určit, jaké změny je třeba ve vzdělávacím programu učinit</w:t>
      </w:r>
      <w:r>
        <w:t xml:space="preserve">. U různých autorů pak vidíme různé přístupy, shrnuté v Tabulce 1. Původní </w:t>
      </w:r>
      <w:proofErr w:type="spellStart"/>
      <w:r>
        <w:t>Kirkpatrickovu</w:t>
      </w:r>
      <w:proofErr w:type="spellEnd"/>
      <w:r>
        <w:t xml:space="preserve"> úroveň Výsledků tak autoři rozkládají do Business </w:t>
      </w:r>
      <w:proofErr w:type="spellStart"/>
      <w:r>
        <w:t>Results</w:t>
      </w:r>
      <w:proofErr w:type="spellEnd"/>
      <w:r>
        <w:t xml:space="preserve">, které jsou na pomezí úrovně Chování a Výsledků a Return on </w:t>
      </w:r>
      <w:proofErr w:type="spellStart"/>
      <w:r>
        <w:lastRenderedPageBreak/>
        <w:t>Investments</w:t>
      </w:r>
      <w:proofErr w:type="spellEnd"/>
      <w:r>
        <w:t xml:space="preserve"> (</w:t>
      </w:r>
      <w:proofErr w:type="spellStart"/>
      <w:r>
        <w:t>Phillips</w:t>
      </w:r>
      <w:proofErr w:type="spellEnd"/>
      <w:r>
        <w:t xml:space="preserve">, 2003: 21), která koresponduje čistě s Kirkpatrickovou úrovní Výsledků. Také </w:t>
      </w:r>
      <w:proofErr w:type="spellStart"/>
      <w:r>
        <w:t>Hamblin</w:t>
      </w:r>
      <w:proofErr w:type="spellEnd"/>
      <w:r>
        <w:t xml:space="preserve"> tuto úroveň rozdvojuje na přínos pro organizaci a </w:t>
      </w:r>
      <w:proofErr w:type="spellStart"/>
      <w:r>
        <w:t>ultimate</w:t>
      </w:r>
      <w:proofErr w:type="spellEnd"/>
      <w:r>
        <w:t xml:space="preserve"> </w:t>
      </w:r>
      <w:proofErr w:type="spellStart"/>
      <w:r>
        <w:t>value</w:t>
      </w:r>
      <w:proofErr w:type="spellEnd"/>
      <w:r>
        <w:t xml:space="preserve"> (</w:t>
      </w:r>
      <w:proofErr w:type="spellStart"/>
      <w:r>
        <w:t>Hamblin</w:t>
      </w:r>
      <w:proofErr w:type="spellEnd"/>
      <w:r>
        <w:t xml:space="preserve">, 1974: 4). </w:t>
      </w:r>
      <w:proofErr w:type="spellStart"/>
      <w:r>
        <w:t>Phillips</w:t>
      </w:r>
      <w:proofErr w:type="spellEnd"/>
      <w:r>
        <w:t xml:space="preserve"> (2003: 201) pak předkládá různé metodiky porovnání přínosů a nákladů, vložených do vzdělávání a rozvoje. Vydat se tak můžeme několika metrikami Return on </w:t>
      </w:r>
      <w:proofErr w:type="spellStart"/>
      <w:r>
        <w:t>Investments</w:t>
      </w:r>
      <w:proofErr w:type="spellEnd"/>
      <w:r>
        <w:t xml:space="preserve">: return on </w:t>
      </w:r>
      <w:proofErr w:type="spellStart"/>
      <w:r>
        <w:t>assets</w:t>
      </w:r>
      <w:proofErr w:type="spellEnd"/>
      <w:r>
        <w:t xml:space="preserve"> (ROA), return on </w:t>
      </w:r>
      <w:proofErr w:type="spellStart"/>
      <w:r>
        <w:t>owners</w:t>
      </w:r>
      <w:proofErr w:type="spellEnd"/>
      <w:r>
        <w:t xml:space="preserve">’ </w:t>
      </w:r>
      <w:proofErr w:type="spellStart"/>
      <w:r>
        <w:t>equity</w:t>
      </w:r>
      <w:proofErr w:type="spellEnd"/>
      <w:r>
        <w:t xml:space="preserve"> (ROE), and return on </w:t>
      </w:r>
      <w:proofErr w:type="spellStart"/>
      <w:r>
        <w:t>capital</w:t>
      </w:r>
      <w:proofErr w:type="spellEnd"/>
      <w:r>
        <w:t xml:space="preserve"> </w:t>
      </w:r>
      <w:proofErr w:type="spellStart"/>
      <w:r>
        <w:t>employed</w:t>
      </w:r>
      <w:proofErr w:type="spellEnd"/>
      <w:r>
        <w:t xml:space="preserve"> (ROCE).</w:t>
      </w:r>
    </w:p>
    <w:p w:rsidR="00703ABC" w:rsidRDefault="00703ABC" w:rsidP="00703ABC">
      <w:pPr>
        <w:spacing w:after="120" w:line="276" w:lineRule="auto"/>
        <w:jc w:val="both"/>
      </w:pPr>
    </w:p>
    <w:p w:rsidR="00703ABC" w:rsidRDefault="00703ABC" w:rsidP="00703ABC">
      <w:pPr>
        <w:spacing w:after="120" w:line="276" w:lineRule="auto"/>
        <w:jc w:val="both"/>
      </w:pPr>
      <w:r w:rsidRPr="00B80848">
        <w:rPr>
          <w:b/>
        </w:rPr>
        <w:t xml:space="preserve">Závěr </w:t>
      </w:r>
    </w:p>
    <w:p w:rsidR="00703ABC" w:rsidRDefault="00703ABC" w:rsidP="00703ABC">
      <w:pPr>
        <w:spacing w:after="120" w:line="276" w:lineRule="auto"/>
        <w:jc w:val="both"/>
      </w:pPr>
      <w:r>
        <w:t xml:space="preserve">Evaluace je velmi komplexním procesem, jehož jednotlivé fáze či úrovně jsou provázány nejen mezi sebou, ale s dalšími faktory vně vzdělávacích a rozvojových programů. I proto nestačí evaluaci realizovat pouze v samotném průběhu vzdělávání a rozvoje, je také nutné evaluovat (či identifikovat vzdělávací potřeby a stávající stav rozvoje účastníků) před samotným započetím vzdělávání a rozvoje i po jeho skončení, abychom dokázali stanovit přínos pro organizaci či akcionáře. Zároveň je důležité si uvědomit, že výstupy z evaluace mohou být zkresleny vnějšími faktory (např. souběžným působením rozvoje organizace i osobních procesech účastníků). Tato práce slouží především jako uvedení do problematiky a ilustrací různých přístupů k jednotlivým fázím evaluace. </w:t>
      </w:r>
    </w:p>
    <w:p w:rsidR="00703ABC" w:rsidRDefault="00703ABC" w:rsidP="00703ABC">
      <w:pPr>
        <w:spacing w:after="120" w:line="276" w:lineRule="auto"/>
        <w:jc w:val="both"/>
      </w:pPr>
    </w:p>
    <w:p w:rsidR="00703ABC" w:rsidRPr="00703ABC" w:rsidRDefault="00703ABC" w:rsidP="00703ABC">
      <w:pPr>
        <w:spacing w:after="120" w:line="276" w:lineRule="auto"/>
        <w:jc w:val="both"/>
        <w:rPr>
          <w:i/>
        </w:rPr>
      </w:pPr>
      <w:r>
        <w:rPr>
          <w:i/>
        </w:rPr>
        <w:t xml:space="preserve">Napište novou definici toho, co se podle Vás skrývá pod termínem evaluace. Co se v ní nachází navíc oproti definici původní. Do Vaší další práci doporučujeme vypsat si seznam důležitých bodů, které by každá evaluace měla </w:t>
      </w:r>
      <w:r w:rsidR="00062A74">
        <w:rPr>
          <w:i/>
        </w:rPr>
        <w:t>dodržet. Které to jsou?</w:t>
      </w:r>
    </w:p>
    <w:p w:rsidR="00703ABC" w:rsidRPr="00062A74" w:rsidRDefault="00703ABC" w:rsidP="00062A74">
      <w:pPr>
        <w:spacing w:after="120" w:line="276" w:lineRule="auto"/>
        <w:jc w:val="both"/>
      </w:pPr>
      <w:r w:rsidRPr="00D241FE">
        <w:rPr>
          <w:b/>
        </w:rPr>
        <w:t>Literatura</w:t>
      </w:r>
      <w:r w:rsidR="00062A74">
        <w:br/>
      </w:r>
      <w:r w:rsidRPr="00D241FE">
        <w:rPr>
          <w:szCs w:val="20"/>
        </w:rPr>
        <w:t>Alkin</w:t>
      </w:r>
      <w:r w:rsidRPr="00D241FE">
        <w:rPr>
          <w:caps/>
          <w:szCs w:val="20"/>
        </w:rPr>
        <w:t xml:space="preserve">, </w:t>
      </w:r>
      <w:r w:rsidRPr="00D241FE">
        <w:rPr>
          <w:szCs w:val="20"/>
        </w:rPr>
        <w:t>M</w:t>
      </w:r>
      <w:r>
        <w:rPr>
          <w:szCs w:val="20"/>
        </w:rPr>
        <w:t>.</w:t>
      </w:r>
      <w:r w:rsidRPr="00D241FE">
        <w:rPr>
          <w:szCs w:val="20"/>
        </w:rPr>
        <w:t xml:space="preserve"> C. </w:t>
      </w:r>
      <w:r>
        <w:rPr>
          <w:szCs w:val="20"/>
        </w:rPr>
        <w:t xml:space="preserve">(2004). </w:t>
      </w:r>
      <w:proofErr w:type="spellStart"/>
      <w:r w:rsidRPr="00D241FE">
        <w:rPr>
          <w:i/>
          <w:szCs w:val="20"/>
        </w:rPr>
        <w:t>Evaluation</w:t>
      </w:r>
      <w:proofErr w:type="spellEnd"/>
      <w:r w:rsidRPr="00D241FE">
        <w:rPr>
          <w:i/>
          <w:szCs w:val="20"/>
        </w:rPr>
        <w:t xml:space="preserve"> </w:t>
      </w:r>
      <w:proofErr w:type="spellStart"/>
      <w:r w:rsidRPr="00D241FE">
        <w:rPr>
          <w:i/>
          <w:szCs w:val="20"/>
        </w:rPr>
        <w:t>Roots</w:t>
      </w:r>
      <w:proofErr w:type="spellEnd"/>
      <w:r w:rsidRPr="00D241FE">
        <w:rPr>
          <w:i/>
          <w:szCs w:val="20"/>
        </w:rPr>
        <w:t xml:space="preserve">: </w:t>
      </w:r>
      <w:proofErr w:type="spellStart"/>
      <w:r w:rsidRPr="00D241FE">
        <w:rPr>
          <w:i/>
          <w:szCs w:val="20"/>
        </w:rPr>
        <w:t>Tracing</w:t>
      </w:r>
      <w:proofErr w:type="spellEnd"/>
      <w:r w:rsidRPr="00D241FE">
        <w:rPr>
          <w:i/>
          <w:szCs w:val="20"/>
        </w:rPr>
        <w:t xml:space="preserve"> </w:t>
      </w:r>
      <w:proofErr w:type="spellStart"/>
      <w:r w:rsidRPr="00D241FE">
        <w:rPr>
          <w:i/>
          <w:szCs w:val="20"/>
        </w:rPr>
        <w:t>Theorists</w:t>
      </w:r>
      <w:proofErr w:type="spellEnd"/>
      <w:r w:rsidRPr="00D241FE">
        <w:rPr>
          <w:i/>
          <w:szCs w:val="20"/>
        </w:rPr>
        <w:t xml:space="preserve">' </w:t>
      </w:r>
      <w:proofErr w:type="spellStart"/>
      <w:r w:rsidRPr="00D241FE">
        <w:rPr>
          <w:i/>
          <w:szCs w:val="20"/>
        </w:rPr>
        <w:t>Views</w:t>
      </w:r>
      <w:proofErr w:type="spellEnd"/>
      <w:r w:rsidRPr="00D241FE">
        <w:rPr>
          <w:i/>
          <w:szCs w:val="20"/>
        </w:rPr>
        <w:t xml:space="preserve"> and </w:t>
      </w:r>
      <w:proofErr w:type="spellStart"/>
      <w:proofErr w:type="gramStart"/>
      <w:r w:rsidRPr="00D241FE">
        <w:rPr>
          <w:i/>
          <w:szCs w:val="20"/>
        </w:rPr>
        <w:t>Influences</w:t>
      </w:r>
      <w:proofErr w:type="spellEnd"/>
      <w:r>
        <w:rPr>
          <w:szCs w:val="20"/>
        </w:rPr>
        <w:t xml:space="preserve">  (</w:t>
      </w:r>
      <w:proofErr w:type="gramEnd"/>
      <w:r>
        <w:rPr>
          <w:szCs w:val="20"/>
        </w:rPr>
        <w:t xml:space="preserve">1st </w:t>
      </w:r>
      <w:proofErr w:type="spellStart"/>
      <w:r>
        <w:rPr>
          <w:szCs w:val="20"/>
        </w:rPr>
        <w:t>ed</w:t>
      </w:r>
      <w:proofErr w:type="spellEnd"/>
      <w:r>
        <w:rPr>
          <w:szCs w:val="20"/>
        </w:rPr>
        <w:t xml:space="preserve">.). London: </w:t>
      </w:r>
      <w:proofErr w:type="spellStart"/>
      <w:r>
        <w:t>Thousand</w:t>
      </w:r>
      <w:proofErr w:type="spellEnd"/>
      <w:r>
        <w:t xml:space="preserve"> </w:t>
      </w:r>
      <w:proofErr w:type="spellStart"/>
      <w:r>
        <w:t>Oak</w:t>
      </w:r>
      <w:r>
        <w:rPr>
          <w:szCs w:val="20"/>
        </w:rPr>
        <w:t>s</w:t>
      </w:r>
      <w:proofErr w:type="spellEnd"/>
      <w:r>
        <w:rPr>
          <w:szCs w:val="20"/>
        </w:rPr>
        <w:t xml:space="preserve">. </w:t>
      </w:r>
    </w:p>
    <w:p w:rsidR="00703ABC" w:rsidRDefault="00703ABC" w:rsidP="00703ABC">
      <w:pPr>
        <w:spacing w:after="200" w:line="276" w:lineRule="auto"/>
        <w:jc w:val="both"/>
      </w:pPr>
      <w:r>
        <w:t>Bělohlávek, F. (1996</w:t>
      </w:r>
      <w:r w:rsidRPr="006A072A">
        <w:t>)</w:t>
      </w:r>
      <w:r>
        <w:t>.</w:t>
      </w:r>
      <w:r w:rsidRPr="00086A9B">
        <w:rPr>
          <w:i/>
        </w:rPr>
        <w:t xml:space="preserve"> Organizační chování.</w:t>
      </w:r>
      <w:r>
        <w:t xml:space="preserve"> (1st </w:t>
      </w:r>
      <w:proofErr w:type="spellStart"/>
      <w:r>
        <w:t>ed</w:t>
      </w:r>
      <w:proofErr w:type="spellEnd"/>
      <w:r>
        <w:t xml:space="preserve">.). Olomouc: </w:t>
      </w:r>
      <w:proofErr w:type="spellStart"/>
      <w:r>
        <w:t>Rubico</w:t>
      </w:r>
      <w:proofErr w:type="spellEnd"/>
      <w:r>
        <w:t>.</w:t>
      </w:r>
    </w:p>
    <w:p w:rsidR="00703ABC" w:rsidRPr="009B2004" w:rsidRDefault="00703ABC" w:rsidP="00703ABC">
      <w:pPr>
        <w:spacing w:before="120" w:line="276" w:lineRule="auto"/>
        <w:rPr>
          <w:szCs w:val="20"/>
        </w:rPr>
      </w:pPr>
      <w:proofErr w:type="spellStart"/>
      <w:r w:rsidRPr="009B2004">
        <w:rPr>
          <w:szCs w:val="20"/>
        </w:rPr>
        <w:t>Bramley</w:t>
      </w:r>
      <w:proofErr w:type="spellEnd"/>
      <w:r w:rsidRPr="009B2004">
        <w:rPr>
          <w:szCs w:val="20"/>
        </w:rPr>
        <w:t>, P. (2003)</w:t>
      </w:r>
      <w:r>
        <w:rPr>
          <w:szCs w:val="20"/>
        </w:rPr>
        <w:t>.</w:t>
      </w:r>
      <w:r w:rsidRPr="009B2004">
        <w:rPr>
          <w:szCs w:val="20"/>
        </w:rPr>
        <w:t xml:space="preserve"> </w:t>
      </w:r>
      <w:proofErr w:type="spellStart"/>
      <w:r w:rsidRPr="006A072A">
        <w:rPr>
          <w:i/>
          <w:szCs w:val="20"/>
        </w:rPr>
        <w:t>Evaluating</w:t>
      </w:r>
      <w:proofErr w:type="spellEnd"/>
      <w:r w:rsidRPr="006A072A">
        <w:rPr>
          <w:i/>
          <w:szCs w:val="20"/>
        </w:rPr>
        <w:t xml:space="preserve"> </w:t>
      </w:r>
      <w:proofErr w:type="spellStart"/>
      <w:r w:rsidRPr="006A072A">
        <w:rPr>
          <w:i/>
          <w:szCs w:val="20"/>
        </w:rPr>
        <w:t>Training</w:t>
      </w:r>
      <w:proofErr w:type="spellEnd"/>
      <w:r w:rsidRPr="009B2004">
        <w:rPr>
          <w:szCs w:val="20"/>
        </w:rPr>
        <w:t xml:space="preserve">. </w:t>
      </w:r>
      <w:r>
        <w:rPr>
          <w:szCs w:val="20"/>
        </w:rPr>
        <w:t xml:space="preserve">(2nd </w:t>
      </w:r>
      <w:proofErr w:type="spellStart"/>
      <w:r>
        <w:rPr>
          <w:szCs w:val="20"/>
        </w:rPr>
        <w:t>ed</w:t>
      </w:r>
      <w:proofErr w:type="spellEnd"/>
      <w:r>
        <w:rPr>
          <w:szCs w:val="20"/>
        </w:rPr>
        <w:t>.)</w:t>
      </w:r>
      <w:r w:rsidRPr="009B2004">
        <w:rPr>
          <w:szCs w:val="20"/>
        </w:rPr>
        <w:t xml:space="preserve"> London: </w:t>
      </w:r>
      <w:proofErr w:type="spellStart"/>
      <w:r w:rsidRPr="009B2004">
        <w:rPr>
          <w:szCs w:val="20"/>
        </w:rPr>
        <w:t>Chartered</w:t>
      </w:r>
      <w:proofErr w:type="spellEnd"/>
      <w:r w:rsidRPr="009B2004">
        <w:rPr>
          <w:szCs w:val="20"/>
        </w:rPr>
        <w:t xml:space="preserve"> Institu</w:t>
      </w:r>
      <w:r>
        <w:rPr>
          <w:szCs w:val="20"/>
        </w:rPr>
        <w:t xml:space="preserve">te </w:t>
      </w:r>
      <w:proofErr w:type="spellStart"/>
      <w:r>
        <w:rPr>
          <w:szCs w:val="20"/>
        </w:rPr>
        <w:t>of</w:t>
      </w:r>
      <w:proofErr w:type="spellEnd"/>
      <w:r>
        <w:rPr>
          <w:szCs w:val="20"/>
        </w:rPr>
        <w:t xml:space="preserve"> </w:t>
      </w:r>
      <w:proofErr w:type="spellStart"/>
      <w:r>
        <w:rPr>
          <w:szCs w:val="20"/>
        </w:rPr>
        <w:t>Personnel</w:t>
      </w:r>
      <w:proofErr w:type="spellEnd"/>
      <w:r>
        <w:rPr>
          <w:szCs w:val="20"/>
        </w:rPr>
        <w:t xml:space="preserve"> and </w:t>
      </w:r>
      <w:proofErr w:type="spellStart"/>
      <w:r>
        <w:rPr>
          <w:szCs w:val="20"/>
        </w:rPr>
        <w:t>Development</w:t>
      </w:r>
      <w:proofErr w:type="spellEnd"/>
      <w:r w:rsidRPr="009B2004">
        <w:rPr>
          <w:szCs w:val="20"/>
        </w:rPr>
        <w:t>.</w:t>
      </w:r>
    </w:p>
    <w:p w:rsidR="00703ABC" w:rsidRPr="009B2004" w:rsidRDefault="00703ABC" w:rsidP="00703ABC">
      <w:pPr>
        <w:spacing w:before="120" w:line="276" w:lineRule="auto"/>
        <w:rPr>
          <w:szCs w:val="20"/>
        </w:rPr>
      </w:pPr>
      <w:proofErr w:type="spellStart"/>
      <w:r w:rsidRPr="009B2004">
        <w:rPr>
          <w:szCs w:val="20"/>
        </w:rPr>
        <w:t>Hamblin</w:t>
      </w:r>
      <w:proofErr w:type="spellEnd"/>
      <w:r w:rsidRPr="009B2004">
        <w:rPr>
          <w:szCs w:val="20"/>
        </w:rPr>
        <w:t>, A. C. (1974)</w:t>
      </w:r>
      <w:r>
        <w:rPr>
          <w:szCs w:val="20"/>
        </w:rPr>
        <w:t>.</w:t>
      </w:r>
      <w:r w:rsidRPr="009B2004">
        <w:rPr>
          <w:szCs w:val="20"/>
        </w:rPr>
        <w:t xml:space="preserve"> </w:t>
      </w:r>
      <w:proofErr w:type="spellStart"/>
      <w:r w:rsidRPr="006A072A">
        <w:rPr>
          <w:i/>
          <w:szCs w:val="20"/>
        </w:rPr>
        <w:t>Evaluation</w:t>
      </w:r>
      <w:proofErr w:type="spellEnd"/>
      <w:r w:rsidRPr="006A072A">
        <w:rPr>
          <w:i/>
          <w:szCs w:val="20"/>
        </w:rPr>
        <w:t xml:space="preserve"> and </w:t>
      </w:r>
      <w:proofErr w:type="spellStart"/>
      <w:r w:rsidRPr="006A072A">
        <w:rPr>
          <w:i/>
          <w:szCs w:val="20"/>
        </w:rPr>
        <w:t>Control</w:t>
      </w:r>
      <w:proofErr w:type="spellEnd"/>
      <w:r w:rsidRPr="006A072A">
        <w:rPr>
          <w:i/>
          <w:szCs w:val="20"/>
        </w:rPr>
        <w:t xml:space="preserve"> </w:t>
      </w:r>
      <w:proofErr w:type="spellStart"/>
      <w:r w:rsidRPr="006A072A">
        <w:rPr>
          <w:i/>
          <w:szCs w:val="20"/>
        </w:rPr>
        <w:t>of</w:t>
      </w:r>
      <w:proofErr w:type="spellEnd"/>
      <w:r w:rsidRPr="006A072A">
        <w:rPr>
          <w:i/>
          <w:szCs w:val="20"/>
        </w:rPr>
        <w:t xml:space="preserve"> </w:t>
      </w:r>
      <w:proofErr w:type="spellStart"/>
      <w:r w:rsidRPr="006A072A">
        <w:rPr>
          <w:i/>
          <w:szCs w:val="20"/>
        </w:rPr>
        <w:t>Training</w:t>
      </w:r>
      <w:proofErr w:type="spellEnd"/>
      <w:r w:rsidRPr="009B2004">
        <w:rPr>
          <w:szCs w:val="20"/>
        </w:rPr>
        <w:t xml:space="preserve">. </w:t>
      </w:r>
      <w:r>
        <w:rPr>
          <w:szCs w:val="20"/>
        </w:rPr>
        <w:t xml:space="preserve">(1st </w:t>
      </w:r>
      <w:proofErr w:type="spellStart"/>
      <w:r>
        <w:rPr>
          <w:szCs w:val="20"/>
        </w:rPr>
        <w:t>ed</w:t>
      </w:r>
      <w:proofErr w:type="spellEnd"/>
      <w:r>
        <w:rPr>
          <w:szCs w:val="20"/>
        </w:rPr>
        <w:t>.)</w:t>
      </w:r>
      <w:r w:rsidRPr="009B2004">
        <w:rPr>
          <w:szCs w:val="20"/>
        </w:rPr>
        <w:t xml:space="preserve">. London: </w:t>
      </w:r>
      <w:proofErr w:type="spellStart"/>
      <w:r w:rsidRPr="009B2004">
        <w:rPr>
          <w:szCs w:val="20"/>
        </w:rPr>
        <w:t>McGraw-Hill</w:t>
      </w:r>
      <w:proofErr w:type="spellEnd"/>
      <w:r w:rsidRPr="009B2004">
        <w:rPr>
          <w:szCs w:val="20"/>
        </w:rPr>
        <w:t>.</w:t>
      </w:r>
    </w:p>
    <w:p w:rsidR="00703ABC" w:rsidRDefault="00703ABC" w:rsidP="00703ABC">
      <w:pPr>
        <w:spacing w:before="120" w:line="276" w:lineRule="auto"/>
        <w:rPr>
          <w:szCs w:val="20"/>
        </w:rPr>
      </w:pPr>
      <w:proofErr w:type="spellStart"/>
      <w:r w:rsidRPr="003A53ED">
        <w:rPr>
          <w:szCs w:val="20"/>
        </w:rPr>
        <w:t>Hendl</w:t>
      </w:r>
      <w:proofErr w:type="spellEnd"/>
      <w:r w:rsidRPr="003A53ED">
        <w:rPr>
          <w:szCs w:val="20"/>
        </w:rPr>
        <w:t xml:space="preserve">, J. </w:t>
      </w:r>
      <w:r>
        <w:rPr>
          <w:szCs w:val="20"/>
        </w:rPr>
        <w:t xml:space="preserve">(2005). </w:t>
      </w:r>
      <w:r w:rsidRPr="006A072A">
        <w:rPr>
          <w:i/>
          <w:szCs w:val="20"/>
        </w:rPr>
        <w:t>Kvalitativní výzkum: základní metody a aplikace</w:t>
      </w:r>
      <w:r>
        <w:rPr>
          <w:szCs w:val="20"/>
        </w:rPr>
        <w:t xml:space="preserve">. (1st </w:t>
      </w:r>
      <w:proofErr w:type="spellStart"/>
      <w:r>
        <w:rPr>
          <w:szCs w:val="20"/>
        </w:rPr>
        <w:t>ed</w:t>
      </w:r>
      <w:proofErr w:type="spellEnd"/>
      <w:r>
        <w:rPr>
          <w:szCs w:val="20"/>
        </w:rPr>
        <w:t>.)</w:t>
      </w:r>
      <w:r w:rsidRPr="003A53ED">
        <w:rPr>
          <w:szCs w:val="20"/>
        </w:rPr>
        <w:t>. Praha: Portál</w:t>
      </w:r>
      <w:r>
        <w:rPr>
          <w:szCs w:val="20"/>
        </w:rPr>
        <w:t>.</w:t>
      </w:r>
    </w:p>
    <w:p w:rsidR="00703ABC" w:rsidRPr="009B2004" w:rsidRDefault="00703ABC" w:rsidP="00703ABC">
      <w:pPr>
        <w:spacing w:before="120" w:line="276" w:lineRule="auto"/>
        <w:rPr>
          <w:szCs w:val="20"/>
        </w:rPr>
      </w:pPr>
      <w:proofErr w:type="spellStart"/>
      <w:r w:rsidRPr="009B2004">
        <w:rPr>
          <w:szCs w:val="20"/>
        </w:rPr>
        <w:t>Kermally</w:t>
      </w:r>
      <w:proofErr w:type="spellEnd"/>
      <w:r>
        <w:rPr>
          <w:szCs w:val="20"/>
        </w:rPr>
        <w:t>,</w:t>
      </w:r>
      <w:r w:rsidRPr="009B2004">
        <w:rPr>
          <w:szCs w:val="20"/>
        </w:rPr>
        <w:t xml:space="preserve"> S. (2005)</w:t>
      </w:r>
      <w:r>
        <w:rPr>
          <w:szCs w:val="20"/>
        </w:rPr>
        <w:t>.</w:t>
      </w:r>
      <w:r w:rsidRPr="009B2004">
        <w:rPr>
          <w:szCs w:val="20"/>
        </w:rPr>
        <w:t xml:space="preserve"> </w:t>
      </w:r>
      <w:proofErr w:type="spellStart"/>
      <w:r w:rsidRPr="009B2004">
        <w:rPr>
          <w:szCs w:val="20"/>
        </w:rPr>
        <w:t>Chapter</w:t>
      </w:r>
      <w:proofErr w:type="spellEnd"/>
      <w:r w:rsidRPr="009B2004">
        <w:rPr>
          <w:szCs w:val="20"/>
        </w:rPr>
        <w:t xml:space="preserve"> </w:t>
      </w:r>
      <w:proofErr w:type="spellStart"/>
      <w:r w:rsidRPr="009B2004">
        <w:rPr>
          <w:szCs w:val="20"/>
        </w:rPr>
        <w:t>Six</w:t>
      </w:r>
      <w:proofErr w:type="spellEnd"/>
      <w:r w:rsidRPr="009B2004">
        <w:rPr>
          <w:szCs w:val="20"/>
        </w:rPr>
        <w:t xml:space="preserve">: Frederick </w:t>
      </w:r>
      <w:proofErr w:type="spellStart"/>
      <w:r w:rsidRPr="009B2004">
        <w:rPr>
          <w:szCs w:val="20"/>
        </w:rPr>
        <w:t>Herzberg</w:t>
      </w:r>
      <w:proofErr w:type="spellEnd"/>
      <w:r w:rsidRPr="009B2004">
        <w:rPr>
          <w:szCs w:val="20"/>
        </w:rPr>
        <w:t xml:space="preserve"> (1923-). In </w:t>
      </w:r>
      <w:proofErr w:type="spellStart"/>
      <w:r w:rsidRPr="006A072A">
        <w:rPr>
          <w:i/>
          <w:szCs w:val="20"/>
        </w:rPr>
        <w:t>Gurus</w:t>
      </w:r>
      <w:proofErr w:type="spellEnd"/>
      <w:r w:rsidRPr="006A072A">
        <w:rPr>
          <w:i/>
          <w:szCs w:val="20"/>
        </w:rPr>
        <w:t xml:space="preserve"> on </w:t>
      </w:r>
      <w:proofErr w:type="spellStart"/>
      <w:r w:rsidRPr="006A072A">
        <w:rPr>
          <w:i/>
          <w:szCs w:val="20"/>
        </w:rPr>
        <w:t>People</w:t>
      </w:r>
      <w:proofErr w:type="spellEnd"/>
      <w:r w:rsidRPr="006A072A">
        <w:rPr>
          <w:i/>
          <w:szCs w:val="20"/>
        </w:rPr>
        <w:t xml:space="preserve"> Management</w:t>
      </w:r>
      <w:r w:rsidRPr="009B2004">
        <w:rPr>
          <w:szCs w:val="20"/>
        </w:rPr>
        <w:t xml:space="preserve"> [e-</w:t>
      </w:r>
      <w:proofErr w:type="spellStart"/>
      <w:r w:rsidRPr="009B2004">
        <w:rPr>
          <w:szCs w:val="20"/>
        </w:rPr>
        <w:t>book</w:t>
      </w:r>
      <w:proofErr w:type="spellEnd"/>
      <w:r w:rsidRPr="009B2004">
        <w:rPr>
          <w:szCs w:val="20"/>
        </w:rPr>
        <w:t>]</w:t>
      </w:r>
      <w:r>
        <w:rPr>
          <w:szCs w:val="20"/>
        </w:rPr>
        <w:t xml:space="preserve"> (pp. </w:t>
      </w:r>
      <w:r w:rsidRPr="009B2004">
        <w:rPr>
          <w:szCs w:val="20"/>
        </w:rPr>
        <w:t>43–50</w:t>
      </w:r>
      <w:r>
        <w:rPr>
          <w:szCs w:val="20"/>
        </w:rPr>
        <w:t>)</w:t>
      </w:r>
      <w:r w:rsidRPr="009B2004">
        <w:rPr>
          <w:szCs w:val="20"/>
        </w:rPr>
        <w:t xml:space="preserve">. </w:t>
      </w:r>
      <w:proofErr w:type="spellStart"/>
      <w:r w:rsidRPr="009B2004">
        <w:rPr>
          <w:szCs w:val="20"/>
        </w:rPr>
        <w:t>Ipswich</w:t>
      </w:r>
      <w:proofErr w:type="spellEnd"/>
      <w:r w:rsidRPr="009B2004">
        <w:rPr>
          <w:szCs w:val="20"/>
        </w:rPr>
        <w:t xml:space="preserve">: </w:t>
      </w:r>
      <w:proofErr w:type="spellStart"/>
      <w:r w:rsidRPr="009B2004">
        <w:rPr>
          <w:szCs w:val="20"/>
        </w:rPr>
        <w:t>Thorogood</w:t>
      </w:r>
      <w:proofErr w:type="spellEnd"/>
      <w:r w:rsidRPr="009B2004">
        <w:rPr>
          <w:szCs w:val="20"/>
        </w:rPr>
        <w:t xml:space="preserve"> </w:t>
      </w:r>
      <w:proofErr w:type="spellStart"/>
      <w:r w:rsidRPr="009B2004">
        <w:rPr>
          <w:szCs w:val="20"/>
        </w:rPr>
        <w:t>Publishing</w:t>
      </w:r>
      <w:proofErr w:type="spellEnd"/>
      <w:r>
        <w:rPr>
          <w:szCs w:val="20"/>
        </w:rPr>
        <w:t>.</w:t>
      </w:r>
      <w:r w:rsidRPr="009B2004">
        <w:rPr>
          <w:szCs w:val="20"/>
        </w:rPr>
        <w:t xml:space="preserve"> </w:t>
      </w:r>
    </w:p>
    <w:p w:rsidR="00703ABC" w:rsidRPr="00086A9B" w:rsidRDefault="00703ABC" w:rsidP="00703ABC">
      <w:pPr>
        <w:spacing w:before="120" w:line="276" w:lineRule="auto"/>
        <w:rPr>
          <w:szCs w:val="20"/>
        </w:rPr>
      </w:pPr>
      <w:proofErr w:type="spellStart"/>
      <w:r w:rsidRPr="009B2004">
        <w:rPr>
          <w:szCs w:val="20"/>
        </w:rPr>
        <w:t>Kirkpatrick</w:t>
      </w:r>
      <w:proofErr w:type="spellEnd"/>
      <w:r w:rsidRPr="009B2004">
        <w:rPr>
          <w:szCs w:val="20"/>
        </w:rPr>
        <w:t xml:space="preserve">, D. L. </w:t>
      </w:r>
      <w:r>
        <w:rPr>
          <w:szCs w:val="20"/>
        </w:rPr>
        <w:t>&amp;</w:t>
      </w:r>
      <w:r w:rsidRPr="009B2004">
        <w:rPr>
          <w:szCs w:val="20"/>
        </w:rPr>
        <w:t xml:space="preserve"> </w:t>
      </w:r>
      <w:proofErr w:type="spellStart"/>
      <w:r w:rsidRPr="009B2004">
        <w:rPr>
          <w:szCs w:val="20"/>
        </w:rPr>
        <w:t>Kirkpatrick</w:t>
      </w:r>
      <w:proofErr w:type="spellEnd"/>
      <w:r w:rsidRPr="009B2004">
        <w:rPr>
          <w:szCs w:val="20"/>
        </w:rPr>
        <w:t xml:space="preserve"> J. D. (2006)</w:t>
      </w:r>
      <w:r>
        <w:rPr>
          <w:szCs w:val="20"/>
        </w:rPr>
        <w:t>.</w:t>
      </w:r>
      <w:r w:rsidRPr="009B2004">
        <w:rPr>
          <w:szCs w:val="20"/>
        </w:rPr>
        <w:t xml:space="preserve"> </w:t>
      </w:r>
      <w:proofErr w:type="spellStart"/>
      <w:r w:rsidRPr="006A072A">
        <w:rPr>
          <w:i/>
          <w:szCs w:val="20"/>
        </w:rPr>
        <w:t>Evaluating</w:t>
      </w:r>
      <w:proofErr w:type="spellEnd"/>
      <w:r w:rsidRPr="006A072A">
        <w:rPr>
          <w:i/>
          <w:szCs w:val="20"/>
        </w:rPr>
        <w:t xml:space="preserve"> </w:t>
      </w:r>
      <w:proofErr w:type="spellStart"/>
      <w:r w:rsidRPr="006A072A">
        <w:rPr>
          <w:i/>
          <w:szCs w:val="20"/>
        </w:rPr>
        <w:t>Training</w:t>
      </w:r>
      <w:proofErr w:type="spellEnd"/>
      <w:r w:rsidRPr="006A072A">
        <w:rPr>
          <w:i/>
          <w:szCs w:val="20"/>
        </w:rPr>
        <w:t xml:space="preserve"> </w:t>
      </w:r>
      <w:proofErr w:type="spellStart"/>
      <w:r w:rsidRPr="006A072A">
        <w:rPr>
          <w:i/>
          <w:szCs w:val="20"/>
        </w:rPr>
        <w:t>Programs</w:t>
      </w:r>
      <w:proofErr w:type="spellEnd"/>
      <w:r w:rsidRPr="006A072A">
        <w:rPr>
          <w:i/>
          <w:szCs w:val="20"/>
        </w:rPr>
        <w:t xml:space="preserve">: </w:t>
      </w:r>
      <w:proofErr w:type="spellStart"/>
      <w:r w:rsidRPr="006A072A">
        <w:rPr>
          <w:i/>
          <w:szCs w:val="20"/>
        </w:rPr>
        <w:t>the</w:t>
      </w:r>
      <w:proofErr w:type="spellEnd"/>
      <w:r w:rsidRPr="006A072A">
        <w:rPr>
          <w:i/>
          <w:szCs w:val="20"/>
        </w:rPr>
        <w:t xml:space="preserve"> </w:t>
      </w:r>
      <w:proofErr w:type="spellStart"/>
      <w:r w:rsidRPr="006A072A">
        <w:rPr>
          <w:i/>
          <w:szCs w:val="20"/>
        </w:rPr>
        <w:t>Four</w:t>
      </w:r>
      <w:proofErr w:type="spellEnd"/>
      <w:r w:rsidRPr="006A072A">
        <w:rPr>
          <w:i/>
          <w:szCs w:val="20"/>
        </w:rPr>
        <w:t xml:space="preserve"> </w:t>
      </w:r>
      <w:proofErr w:type="spellStart"/>
      <w:r w:rsidRPr="006A072A">
        <w:rPr>
          <w:i/>
          <w:szCs w:val="20"/>
        </w:rPr>
        <w:t>Levels</w:t>
      </w:r>
      <w:proofErr w:type="spellEnd"/>
      <w:r w:rsidRPr="009B2004">
        <w:rPr>
          <w:szCs w:val="20"/>
        </w:rPr>
        <w:t xml:space="preserve">. </w:t>
      </w:r>
      <w:r>
        <w:rPr>
          <w:szCs w:val="20"/>
        </w:rPr>
        <w:t>(</w:t>
      </w:r>
      <w:r w:rsidRPr="009B2004">
        <w:rPr>
          <w:szCs w:val="20"/>
        </w:rPr>
        <w:t>3</w:t>
      </w:r>
      <w:r>
        <w:rPr>
          <w:szCs w:val="20"/>
        </w:rPr>
        <w:t xml:space="preserve">rd </w:t>
      </w:r>
      <w:proofErr w:type="spellStart"/>
      <w:r>
        <w:rPr>
          <w:szCs w:val="20"/>
        </w:rPr>
        <w:t>ed</w:t>
      </w:r>
      <w:proofErr w:type="spellEnd"/>
      <w:r>
        <w:rPr>
          <w:szCs w:val="20"/>
        </w:rPr>
        <w:t>.)</w:t>
      </w:r>
      <w:r w:rsidRPr="009B2004">
        <w:rPr>
          <w:szCs w:val="20"/>
        </w:rPr>
        <w:t>.</w:t>
      </w:r>
      <w:r>
        <w:rPr>
          <w:szCs w:val="20"/>
        </w:rPr>
        <w:t xml:space="preserve"> San Francisco: </w:t>
      </w:r>
      <w:proofErr w:type="spellStart"/>
      <w:r>
        <w:rPr>
          <w:szCs w:val="20"/>
        </w:rPr>
        <w:t>Berret-Koehler</w:t>
      </w:r>
      <w:proofErr w:type="spellEnd"/>
      <w:r w:rsidRPr="009B2004">
        <w:rPr>
          <w:szCs w:val="20"/>
        </w:rPr>
        <w:t>.</w:t>
      </w:r>
    </w:p>
    <w:p w:rsidR="00703ABC" w:rsidRPr="006A072A" w:rsidRDefault="00703ABC" w:rsidP="00703ABC">
      <w:pPr>
        <w:spacing w:before="120" w:line="276" w:lineRule="auto"/>
        <w:rPr>
          <w:szCs w:val="20"/>
        </w:rPr>
      </w:pPr>
      <w:proofErr w:type="spellStart"/>
      <w:r w:rsidRPr="003B7536">
        <w:rPr>
          <w:szCs w:val="20"/>
        </w:rPr>
        <w:t>Phillips</w:t>
      </w:r>
      <w:proofErr w:type="spellEnd"/>
      <w:r w:rsidRPr="003B7536">
        <w:rPr>
          <w:szCs w:val="20"/>
        </w:rPr>
        <w:t>, J. J. (2003</w:t>
      </w:r>
      <w:r>
        <w:rPr>
          <w:szCs w:val="20"/>
        </w:rPr>
        <w:t>.</w:t>
      </w:r>
      <w:r w:rsidRPr="003B7536">
        <w:rPr>
          <w:szCs w:val="20"/>
        </w:rPr>
        <w:t xml:space="preserve">) </w:t>
      </w:r>
      <w:r w:rsidRPr="006A072A">
        <w:rPr>
          <w:i/>
          <w:szCs w:val="20"/>
        </w:rPr>
        <w:t xml:space="preserve">Return on </w:t>
      </w:r>
      <w:proofErr w:type="spellStart"/>
      <w:r w:rsidRPr="006A072A">
        <w:rPr>
          <w:i/>
          <w:szCs w:val="20"/>
        </w:rPr>
        <w:t>Investment</w:t>
      </w:r>
      <w:proofErr w:type="spellEnd"/>
      <w:r w:rsidRPr="006A072A">
        <w:rPr>
          <w:i/>
          <w:szCs w:val="20"/>
        </w:rPr>
        <w:t xml:space="preserve"> in </w:t>
      </w:r>
      <w:proofErr w:type="spellStart"/>
      <w:r w:rsidRPr="006A072A">
        <w:rPr>
          <w:i/>
          <w:szCs w:val="20"/>
        </w:rPr>
        <w:t>Training</w:t>
      </w:r>
      <w:proofErr w:type="spellEnd"/>
      <w:r w:rsidRPr="006A072A">
        <w:rPr>
          <w:i/>
          <w:szCs w:val="20"/>
        </w:rPr>
        <w:t xml:space="preserve"> and Performance </w:t>
      </w:r>
      <w:proofErr w:type="spellStart"/>
      <w:r w:rsidRPr="006A072A">
        <w:rPr>
          <w:i/>
          <w:szCs w:val="20"/>
        </w:rPr>
        <w:t>Improvement</w:t>
      </w:r>
      <w:proofErr w:type="spellEnd"/>
      <w:r w:rsidRPr="006A072A">
        <w:rPr>
          <w:i/>
          <w:szCs w:val="20"/>
        </w:rPr>
        <w:t xml:space="preserve"> </w:t>
      </w:r>
      <w:proofErr w:type="spellStart"/>
      <w:r w:rsidRPr="006A072A">
        <w:rPr>
          <w:i/>
          <w:szCs w:val="20"/>
        </w:rPr>
        <w:t>Programs</w:t>
      </w:r>
      <w:proofErr w:type="spellEnd"/>
      <w:r w:rsidRPr="003B7536">
        <w:rPr>
          <w:szCs w:val="20"/>
        </w:rPr>
        <w:t xml:space="preserve">. </w:t>
      </w:r>
      <w:r>
        <w:rPr>
          <w:szCs w:val="20"/>
        </w:rPr>
        <w:t xml:space="preserve">(2nd </w:t>
      </w:r>
      <w:proofErr w:type="spellStart"/>
      <w:r>
        <w:rPr>
          <w:szCs w:val="20"/>
        </w:rPr>
        <w:t>ed</w:t>
      </w:r>
      <w:proofErr w:type="spellEnd"/>
      <w:r>
        <w:rPr>
          <w:szCs w:val="20"/>
        </w:rPr>
        <w:t>.).</w:t>
      </w:r>
      <w:r w:rsidRPr="003B7536">
        <w:rPr>
          <w:szCs w:val="20"/>
        </w:rPr>
        <w:t xml:space="preserve"> London: </w:t>
      </w:r>
      <w:proofErr w:type="spellStart"/>
      <w:r w:rsidRPr="003B7536">
        <w:rPr>
          <w:szCs w:val="20"/>
        </w:rPr>
        <w:t>Butterworth-Heinemann</w:t>
      </w:r>
      <w:proofErr w:type="spellEnd"/>
      <w:r w:rsidRPr="003B7536">
        <w:rPr>
          <w:szCs w:val="20"/>
        </w:rPr>
        <w:t>.</w:t>
      </w:r>
    </w:p>
    <w:p w:rsidR="00703ABC" w:rsidRDefault="00703ABC" w:rsidP="00703ABC">
      <w:pPr>
        <w:spacing w:before="120" w:line="276" w:lineRule="auto"/>
        <w:rPr>
          <w:szCs w:val="20"/>
        </w:rPr>
      </w:pPr>
      <w:proofErr w:type="spellStart"/>
      <w:r w:rsidRPr="006A072A">
        <w:rPr>
          <w:szCs w:val="20"/>
        </w:rPr>
        <w:t>Sadler</w:t>
      </w:r>
      <w:proofErr w:type="spellEnd"/>
      <w:r w:rsidRPr="006A072A">
        <w:rPr>
          <w:szCs w:val="20"/>
        </w:rPr>
        <w:t>-Smith, E. (2006)</w:t>
      </w:r>
      <w:r>
        <w:rPr>
          <w:szCs w:val="20"/>
        </w:rPr>
        <w:t>.</w:t>
      </w:r>
      <w:r w:rsidRPr="006A072A">
        <w:rPr>
          <w:szCs w:val="20"/>
        </w:rPr>
        <w:t xml:space="preserve"> </w:t>
      </w:r>
      <w:proofErr w:type="spellStart"/>
      <w:r w:rsidRPr="006A072A">
        <w:rPr>
          <w:i/>
          <w:szCs w:val="20"/>
        </w:rPr>
        <w:t>Learning</w:t>
      </w:r>
      <w:proofErr w:type="spellEnd"/>
      <w:r w:rsidRPr="006A072A">
        <w:rPr>
          <w:i/>
          <w:szCs w:val="20"/>
        </w:rPr>
        <w:t xml:space="preserve"> and </w:t>
      </w:r>
      <w:proofErr w:type="spellStart"/>
      <w:r w:rsidRPr="006A072A">
        <w:rPr>
          <w:i/>
          <w:szCs w:val="20"/>
        </w:rPr>
        <w:t>Development</w:t>
      </w:r>
      <w:proofErr w:type="spellEnd"/>
      <w:r w:rsidRPr="006A072A">
        <w:rPr>
          <w:i/>
          <w:szCs w:val="20"/>
        </w:rPr>
        <w:t xml:space="preserve"> </w:t>
      </w:r>
      <w:proofErr w:type="spellStart"/>
      <w:r w:rsidRPr="006A072A">
        <w:rPr>
          <w:i/>
          <w:szCs w:val="20"/>
        </w:rPr>
        <w:t>for</w:t>
      </w:r>
      <w:proofErr w:type="spellEnd"/>
      <w:r w:rsidRPr="006A072A">
        <w:rPr>
          <w:i/>
          <w:szCs w:val="20"/>
        </w:rPr>
        <w:t xml:space="preserve"> </w:t>
      </w:r>
      <w:proofErr w:type="spellStart"/>
      <w:r w:rsidRPr="006A072A">
        <w:rPr>
          <w:i/>
          <w:szCs w:val="20"/>
        </w:rPr>
        <w:t>Managers</w:t>
      </w:r>
      <w:proofErr w:type="spellEnd"/>
      <w:r w:rsidRPr="006A072A">
        <w:rPr>
          <w:i/>
          <w:szCs w:val="20"/>
        </w:rPr>
        <w:t xml:space="preserve">: </w:t>
      </w:r>
      <w:proofErr w:type="spellStart"/>
      <w:r w:rsidRPr="006A072A">
        <w:rPr>
          <w:i/>
          <w:szCs w:val="20"/>
        </w:rPr>
        <w:t>Perspectives</w:t>
      </w:r>
      <w:proofErr w:type="spellEnd"/>
      <w:r w:rsidRPr="006A072A">
        <w:rPr>
          <w:i/>
          <w:szCs w:val="20"/>
        </w:rPr>
        <w:t xml:space="preserve"> </w:t>
      </w:r>
      <w:proofErr w:type="spellStart"/>
      <w:r w:rsidRPr="006A072A">
        <w:rPr>
          <w:i/>
          <w:szCs w:val="20"/>
        </w:rPr>
        <w:t>from</w:t>
      </w:r>
      <w:proofErr w:type="spellEnd"/>
      <w:r w:rsidRPr="006A072A">
        <w:rPr>
          <w:i/>
          <w:szCs w:val="20"/>
        </w:rPr>
        <w:t xml:space="preserve"> </w:t>
      </w:r>
      <w:proofErr w:type="spellStart"/>
      <w:r w:rsidRPr="006A072A">
        <w:rPr>
          <w:i/>
          <w:szCs w:val="20"/>
        </w:rPr>
        <w:t>Research</w:t>
      </w:r>
      <w:proofErr w:type="spellEnd"/>
      <w:r w:rsidRPr="006A072A">
        <w:rPr>
          <w:i/>
          <w:szCs w:val="20"/>
        </w:rPr>
        <w:t xml:space="preserve"> and </w:t>
      </w:r>
      <w:proofErr w:type="spellStart"/>
      <w:r w:rsidRPr="006A072A">
        <w:rPr>
          <w:i/>
          <w:szCs w:val="20"/>
        </w:rPr>
        <w:t>Practice</w:t>
      </w:r>
      <w:proofErr w:type="spellEnd"/>
      <w:r w:rsidRPr="006A072A">
        <w:rPr>
          <w:szCs w:val="20"/>
        </w:rPr>
        <w:t xml:space="preserve">. </w:t>
      </w:r>
      <w:r>
        <w:rPr>
          <w:szCs w:val="20"/>
        </w:rPr>
        <w:t>(1st</w:t>
      </w:r>
      <w:r w:rsidRPr="006A072A">
        <w:rPr>
          <w:szCs w:val="20"/>
        </w:rPr>
        <w:t xml:space="preserve"> </w:t>
      </w:r>
      <w:proofErr w:type="spellStart"/>
      <w:r>
        <w:rPr>
          <w:szCs w:val="20"/>
        </w:rPr>
        <w:t>ed</w:t>
      </w:r>
      <w:proofErr w:type="spellEnd"/>
      <w:r>
        <w:rPr>
          <w:szCs w:val="20"/>
        </w:rPr>
        <w:t>.).</w:t>
      </w:r>
      <w:r w:rsidRPr="006A072A">
        <w:rPr>
          <w:szCs w:val="20"/>
        </w:rPr>
        <w:t xml:space="preserve"> Oxford: </w:t>
      </w:r>
      <w:proofErr w:type="spellStart"/>
      <w:r>
        <w:rPr>
          <w:szCs w:val="20"/>
        </w:rPr>
        <w:t>Blackwell</w:t>
      </w:r>
      <w:proofErr w:type="spellEnd"/>
      <w:r>
        <w:rPr>
          <w:szCs w:val="20"/>
        </w:rPr>
        <w:t xml:space="preserve">. </w:t>
      </w:r>
    </w:p>
    <w:p w:rsidR="00F542E8" w:rsidRDefault="00703ABC" w:rsidP="00062A74">
      <w:pPr>
        <w:spacing w:before="120" w:line="276" w:lineRule="auto"/>
      </w:pPr>
      <w:r w:rsidRPr="009B2004">
        <w:rPr>
          <w:szCs w:val="20"/>
        </w:rPr>
        <w:t xml:space="preserve">Schneider, B. </w:t>
      </w:r>
      <w:r>
        <w:rPr>
          <w:szCs w:val="20"/>
        </w:rPr>
        <w:t>&amp;</w:t>
      </w:r>
      <w:r w:rsidRPr="009B2004">
        <w:rPr>
          <w:szCs w:val="20"/>
        </w:rPr>
        <w:t xml:space="preserve"> </w:t>
      </w:r>
      <w:proofErr w:type="spellStart"/>
      <w:r w:rsidRPr="009B2004">
        <w:rPr>
          <w:szCs w:val="20"/>
        </w:rPr>
        <w:t>Alderfer</w:t>
      </w:r>
      <w:proofErr w:type="spellEnd"/>
      <w:r w:rsidRPr="009B2004">
        <w:rPr>
          <w:szCs w:val="20"/>
        </w:rPr>
        <w:t>, C. (1973)</w:t>
      </w:r>
      <w:r>
        <w:rPr>
          <w:szCs w:val="20"/>
        </w:rPr>
        <w:t>.</w:t>
      </w:r>
      <w:r w:rsidRPr="009B2004">
        <w:rPr>
          <w:szCs w:val="20"/>
        </w:rPr>
        <w:t xml:space="preserve"> </w:t>
      </w:r>
      <w:proofErr w:type="spellStart"/>
      <w:r w:rsidRPr="006A072A">
        <w:rPr>
          <w:szCs w:val="20"/>
        </w:rPr>
        <w:t>Three</w:t>
      </w:r>
      <w:proofErr w:type="spellEnd"/>
      <w:r w:rsidRPr="006A072A">
        <w:rPr>
          <w:szCs w:val="20"/>
        </w:rPr>
        <w:t xml:space="preserve"> </w:t>
      </w:r>
      <w:proofErr w:type="spellStart"/>
      <w:r w:rsidRPr="006A072A">
        <w:rPr>
          <w:szCs w:val="20"/>
        </w:rPr>
        <w:t>Studies</w:t>
      </w:r>
      <w:proofErr w:type="spellEnd"/>
      <w:r w:rsidRPr="006A072A">
        <w:rPr>
          <w:szCs w:val="20"/>
        </w:rPr>
        <w:t xml:space="preserve"> </w:t>
      </w:r>
      <w:proofErr w:type="spellStart"/>
      <w:r w:rsidRPr="006A072A">
        <w:rPr>
          <w:szCs w:val="20"/>
        </w:rPr>
        <w:t>of</w:t>
      </w:r>
      <w:proofErr w:type="spellEnd"/>
      <w:r w:rsidRPr="006A072A">
        <w:rPr>
          <w:szCs w:val="20"/>
        </w:rPr>
        <w:t xml:space="preserve"> </w:t>
      </w:r>
      <w:proofErr w:type="spellStart"/>
      <w:r w:rsidRPr="006A072A">
        <w:rPr>
          <w:szCs w:val="20"/>
        </w:rPr>
        <w:t>Measures</w:t>
      </w:r>
      <w:proofErr w:type="spellEnd"/>
      <w:r w:rsidRPr="006A072A">
        <w:rPr>
          <w:szCs w:val="20"/>
        </w:rPr>
        <w:t xml:space="preserve"> </w:t>
      </w:r>
      <w:proofErr w:type="spellStart"/>
      <w:r w:rsidRPr="006A072A">
        <w:rPr>
          <w:szCs w:val="20"/>
        </w:rPr>
        <w:t>of</w:t>
      </w:r>
      <w:proofErr w:type="spellEnd"/>
      <w:r w:rsidRPr="006A072A">
        <w:rPr>
          <w:szCs w:val="20"/>
        </w:rPr>
        <w:t xml:space="preserve"> </w:t>
      </w:r>
      <w:proofErr w:type="spellStart"/>
      <w:r w:rsidRPr="006A072A">
        <w:rPr>
          <w:szCs w:val="20"/>
        </w:rPr>
        <w:t>Need</w:t>
      </w:r>
      <w:proofErr w:type="spellEnd"/>
      <w:r w:rsidRPr="006A072A">
        <w:rPr>
          <w:szCs w:val="20"/>
        </w:rPr>
        <w:t xml:space="preserve"> </w:t>
      </w:r>
      <w:proofErr w:type="spellStart"/>
      <w:r w:rsidRPr="006A072A">
        <w:rPr>
          <w:szCs w:val="20"/>
        </w:rPr>
        <w:t>Satisfaction</w:t>
      </w:r>
      <w:proofErr w:type="spellEnd"/>
      <w:r w:rsidRPr="006A072A">
        <w:rPr>
          <w:szCs w:val="20"/>
        </w:rPr>
        <w:t xml:space="preserve"> in </w:t>
      </w:r>
      <w:proofErr w:type="spellStart"/>
      <w:r w:rsidRPr="006A072A">
        <w:rPr>
          <w:szCs w:val="20"/>
        </w:rPr>
        <w:t>Organizations</w:t>
      </w:r>
      <w:proofErr w:type="spellEnd"/>
      <w:r w:rsidRPr="009B2004">
        <w:rPr>
          <w:szCs w:val="20"/>
        </w:rPr>
        <w:t xml:space="preserve">. </w:t>
      </w:r>
      <w:proofErr w:type="spellStart"/>
      <w:r w:rsidRPr="006A072A">
        <w:rPr>
          <w:i/>
          <w:szCs w:val="20"/>
        </w:rPr>
        <w:t>Administrative</w:t>
      </w:r>
      <w:proofErr w:type="spellEnd"/>
      <w:r w:rsidRPr="006A072A">
        <w:rPr>
          <w:i/>
          <w:szCs w:val="20"/>
        </w:rPr>
        <w:t xml:space="preserve"> Science </w:t>
      </w:r>
      <w:proofErr w:type="spellStart"/>
      <w:r w:rsidRPr="006A072A">
        <w:rPr>
          <w:i/>
          <w:szCs w:val="20"/>
        </w:rPr>
        <w:t>Quarterly</w:t>
      </w:r>
      <w:proofErr w:type="spellEnd"/>
      <w:r>
        <w:rPr>
          <w:szCs w:val="20"/>
        </w:rPr>
        <w:t xml:space="preserve">, 18(4), </w:t>
      </w:r>
      <w:r w:rsidRPr="009B2004">
        <w:rPr>
          <w:szCs w:val="20"/>
        </w:rPr>
        <w:t>489–505.</w:t>
      </w:r>
      <w:r w:rsidR="00062A74">
        <w:rPr>
          <w:szCs w:val="20"/>
        </w:rPr>
        <w:br/>
      </w:r>
      <w:r w:rsidRPr="009B2004">
        <w:rPr>
          <w:szCs w:val="20"/>
        </w:rPr>
        <w:t xml:space="preserve">Vodák, J. </w:t>
      </w:r>
      <w:r>
        <w:rPr>
          <w:szCs w:val="20"/>
        </w:rPr>
        <w:t>&amp;</w:t>
      </w:r>
      <w:r w:rsidRPr="009B2004">
        <w:rPr>
          <w:szCs w:val="20"/>
        </w:rPr>
        <w:t xml:space="preserve"> Kucharčíková, A. (2007)</w:t>
      </w:r>
      <w:r>
        <w:rPr>
          <w:szCs w:val="20"/>
        </w:rPr>
        <w:t>.</w:t>
      </w:r>
      <w:r w:rsidRPr="009B2004">
        <w:rPr>
          <w:szCs w:val="20"/>
        </w:rPr>
        <w:t xml:space="preserve"> </w:t>
      </w:r>
      <w:r w:rsidRPr="006A072A">
        <w:rPr>
          <w:i/>
          <w:szCs w:val="20"/>
        </w:rPr>
        <w:t>Efektivní vzdělávání zaměstnanců</w:t>
      </w:r>
      <w:r w:rsidRPr="009B2004">
        <w:rPr>
          <w:szCs w:val="20"/>
        </w:rPr>
        <w:t xml:space="preserve">. </w:t>
      </w:r>
      <w:r>
        <w:rPr>
          <w:szCs w:val="20"/>
        </w:rPr>
        <w:t xml:space="preserve">(1. </w:t>
      </w:r>
      <w:proofErr w:type="spellStart"/>
      <w:r>
        <w:rPr>
          <w:szCs w:val="20"/>
        </w:rPr>
        <w:t>ed</w:t>
      </w:r>
      <w:proofErr w:type="spellEnd"/>
      <w:r>
        <w:rPr>
          <w:szCs w:val="20"/>
        </w:rPr>
        <w:t>.)</w:t>
      </w:r>
      <w:r w:rsidRPr="009B2004">
        <w:rPr>
          <w:szCs w:val="20"/>
        </w:rPr>
        <w:t>. P</w:t>
      </w:r>
      <w:r>
        <w:rPr>
          <w:szCs w:val="20"/>
        </w:rPr>
        <w:t xml:space="preserve">raha: </w:t>
      </w:r>
      <w:proofErr w:type="spellStart"/>
      <w:r>
        <w:rPr>
          <w:szCs w:val="20"/>
        </w:rPr>
        <w:t>Grada</w:t>
      </w:r>
      <w:proofErr w:type="spellEnd"/>
      <w:r w:rsidRPr="009B2004">
        <w:rPr>
          <w:szCs w:val="20"/>
        </w:rPr>
        <w:t>.</w:t>
      </w:r>
      <w:bookmarkStart w:id="0" w:name="_GoBack"/>
      <w:bookmarkEnd w:id="0"/>
    </w:p>
    <w:sectPr w:rsidR="00F542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474" w:rsidRDefault="00702474" w:rsidP="00703ABC">
      <w:pPr>
        <w:spacing w:after="0" w:line="240" w:lineRule="auto"/>
      </w:pPr>
      <w:r>
        <w:separator/>
      </w:r>
    </w:p>
  </w:endnote>
  <w:endnote w:type="continuationSeparator" w:id="0">
    <w:p w:rsidR="00702474" w:rsidRDefault="00702474" w:rsidP="0070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474" w:rsidRDefault="00702474" w:rsidP="00703ABC">
      <w:pPr>
        <w:spacing w:after="0" w:line="240" w:lineRule="auto"/>
      </w:pPr>
      <w:r>
        <w:separator/>
      </w:r>
    </w:p>
  </w:footnote>
  <w:footnote w:type="continuationSeparator" w:id="0">
    <w:p w:rsidR="00702474" w:rsidRDefault="00702474" w:rsidP="00703ABC">
      <w:pPr>
        <w:spacing w:after="0" w:line="240" w:lineRule="auto"/>
      </w:pPr>
      <w:r>
        <w:continuationSeparator/>
      </w:r>
    </w:p>
  </w:footnote>
  <w:footnote w:id="1">
    <w:p w:rsidR="00703ABC" w:rsidRPr="001D5332" w:rsidRDefault="00703ABC" w:rsidP="00703ABC">
      <w:pPr>
        <w:pStyle w:val="Textpoznpodarou"/>
        <w:jc w:val="both"/>
        <w:rPr>
          <w:rFonts w:asciiTheme="minorHAnsi" w:hAnsiTheme="minorHAnsi"/>
        </w:rPr>
      </w:pPr>
      <w:r w:rsidRPr="001D5332">
        <w:rPr>
          <w:rStyle w:val="Znakapoznpodarou"/>
          <w:rFonts w:asciiTheme="minorHAnsi" w:hAnsiTheme="minorHAnsi"/>
        </w:rPr>
        <w:footnoteRef/>
      </w:r>
      <w:r w:rsidRPr="001D5332">
        <w:rPr>
          <w:rFonts w:asciiTheme="minorHAnsi" w:hAnsiTheme="minorHAnsi"/>
        </w:rPr>
        <w:t xml:space="preserve"> Není samozřejmě nezbytné </w:t>
      </w:r>
      <w:r>
        <w:rPr>
          <w:rFonts w:asciiTheme="minorHAnsi" w:hAnsiTheme="minorHAnsi"/>
        </w:rPr>
        <w:t>realizovat evaluaci na všech těchto úrovních u naprosto všech realizovaných vzdělávacích aktivit.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F3694"/>
    <w:multiLevelType w:val="hybridMultilevel"/>
    <w:tmpl w:val="C7AEF9DE"/>
    <w:lvl w:ilvl="0" w:tplc="9AA6699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E844994"/>
    <w:multiLevelType w:val="multilevel"/>
    <w:tmpl w:val="0A5E3080"/>
    <w:lvl w:ilvl="0">
      <w:start w:val="1"/>
      <w:numFmt w:val="decimal"/>
      <w:lvlText w:val="%1."/>
      <w:lvlJc w:val="left"/>
      <w:pPr>
        <w:ind w:left="720" w:hanging="360"/>
      </w:pPr>
      <w:rPr>
        <w:rFonts w:hint="default"/>
        <w:b/>
        <w:sz w:val="24"/>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BC"/>
    <w:rsid w:val="00062A74"/>
    <w:rsid w:val="0054781C"/>
    <w:rsid w:val="00702474"/>
    <w:rsid w:val="00703ABC"/>
    <w:rsid w:val="00F54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402F"/>
  <w15:chartTrackingRefBased/>
  <w15:docId w15:val="{DCF63A22-D332-45DC-9CE9-9F6CE3D6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03A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703AB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703ABC"/>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703ABC"/>
    <w:rPr>
      <w:vertAlign w:val="superscript"/>
    </w:rPr>
  </w:style>
  <w:style w:type="table" w:styleId="Mkatabulky">
    <w:name w:val="Table Grid"/>
    <w:basedOn w:val="Normlntabulka"/>
    <w:uiPriority w:val="39"/>
    <w:rsid w:val="0070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03ABC"/>
    <w:pPr>
      <w:ind w:left="720"/>
      <w:contextualSpacing/>
    </w:pPr>
  </w:style>
  <w:style w:type="character" w:styleId="Odkaznakoment">
    <w:name w:val="annotation reference"/>
    <w:basedOn w:val="Standardnpsmoodstavce"/>
    <w:uiPriority w:val="99"/>
    <w:semiHidden/>
    <w:unhideWhenUsed/>
    <w:rsid w:val="00703ABC"/>
    <w:rPr>
      <w:sz w:val="16"/>
      <w:szCs w:val="16"/>
    </w:rPr>
  </w:style>
  <w:style w:type="paragraph" w:styleId="Textkomente">
    <w:name w:val="annotation text"/>
    <w:basedOn w:val="Normln"/>
    <w:link w:val="TextkomenteChar"/>
    <w:uiPriority w:val="99"/>
    <w:semiHidden/>
    <w:unhideWhenUsed/>
    <w:rsid w:val="00703ABC"/>
    <w:pPr>
      <w:spacing w:line="240" w:lineRule="auto"/>
    </w:pPr>
    <w:rPr>
      <w:sz w:val="20"/>
      <w:szCs w:val="20"/>
    </w:rPr>
  </w:style>
  <w:style w:type="character" w:customStyle="1" w:styleId="TextkomenteChar">
    <w:name w:val="Text komentáře Char"/>
    <w:basedOn w:val="Standardnpsmoodstavce"/>
    <w:link w:val="Textkomente"/>
    <w:uiPriority w:val="99"/>
    <w:semiHidden/>
    <w:rsid w:val="00703ABC"/>
    <w:rPr>
      <w:sz w:val="20"/>
      <w:szCs w:val="20"/>
    </w:rPr>
  </w:style>
  <w:style w:type="paragraph" w:styleId="Textbubliny">
    <w:name w:val="Balloon Text"/>
    <w:basedOn w:val="Normln"/>
    <w:link w:val="TextbublinyChar"/>
    <w:uiPriority w:val="99"/>
    <w:semiHidden/>
    <w:unhideWhenUsed/>
    <w:rsid w:val="00703A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3ABC"/>
    <w:rPr>
      <w:rFonts w:ascii="Segoe UI" w:hAnsi="Segoe UI" w:cs="Segoe UI"/>
      <w:sz w:val="18"/>
      <w:szCs w:val="18"/>
    </w:rPr>
  </w:style>
  <w:style w:type="paragraph" w:styleId="Nzev">
    <w:name w:val="Title"/>
    <w:basedOn w:val="Normln"/>
    <w:next w:val="Normln"/>
    <w:link w:val="NzevChar"/>
    <w:uiPriority w:val="10"/>
    <w:qFormat/>
    <w:rsid w:val="00703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03A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3134</Words>
  <Characters>18899</Characters>
  <Application>Microsoft Office Word</Application>
  <DocSecurity>0</DocSecurity>
  <Lines>402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Vítek Dočekal</dc:creator>
  <cp:keywords/>
  <dc:description/>
  <cp:lastModifiedBy>Vítek Dočekal</cp:lastModifiedBy>
  <cp:revision>1</cp:revision>
  <dcterms:created xsi:type="dcterms:W3CDTF">2019-12-18T16:03:00Z</dcterms:created>
  <dcterms:modified xsi:type="dcterms:W3CDTF">2019-12-18T16:14:00Z</dcterms:modified>
</cp:coreProperties>
</file>