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A9DF" w14:textId="11E5A50F" w:rsidR="00C23441" w:rsidRPr="00016BFF" w:rsidRDefault="00C23441"/>
    <w:p w14:paraId="43239630" w14:textId="118F529E" w:rsidR="00016BFF" w:rsidRPr="00B644F5" w:rsidRDefault="004C1B86" w:rsidP="00B644F5">
      <w:pPr>
        <w:shd w:val="clear" w:color="auto" w:fill="FFFFFF"/>
        <w:spacing w:line="233" w:lineRule="atLeast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PTS</w:t>
      </w:r>
      <w:r w:rsidR="00B644F5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-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„Profilový test z pedagogiky, psychologie a sociální pedagogiky“</w:t>
      </w:r>
      <w:r w:rsidR="00C23441" w:rsidRPr="00016BFF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br/>
      </w:r>
    </w:p>
    <w:p w14:paraId="1739DD15" w14:textId="77777777" w:rsidR="00016BFF" w:rsidRPr="00016BFF" w:rsidRDefault="00C23441" w:rsidP="00016BFF">
      <w:pPr>
        <w:shd w:val="clear" w:color="auto" w:fill="FFFFFF"/>
        <w:spacing w:line="233" w:lineRule="atLeast"/>
        <w:rPr>
          <w:sz w:val="24"/>
          <w:szCs w:val="24"/>
          <w:lang w:eastAsia="cs-CZ"/>
        </w:rPr>
      </w:pPr>
      <w:r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Garantující pracoviště</w:t>
      </w:r>
      <w:r w:rsidR="00016BFF" w:rsidRPr="00016BFF">
        <w:rPr>
          <w:sz w:val="24"/>
          <w:szCs w:val="24"/>
          <w:lang w:eastAsia="cs-CZ"/>
        </w:rPr>
        <w:t>:</w:t>
      </w:r>
    </w:p>
    <w:p w14:paraId="7473323E" w14:textId="06D6CC10" w:rsidR="004C1B86" w:rsidRDefault="004C1B86" w:rsidP="00016BFF">
      <w:pPr>
        <w:shd w:val="clear" w:color="auto" w:fill="FFFFFF"/>
        <w:spacing w:line="233" w:lineRule="atLeast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Katedra křesťanské výchovy, CMTF UP v Olomouci</w:t>
      </w:r>
    </w:p>
    <w:p w14:paraId="7B57598A" w14:textId="77777777" w:rsidR="00167D96" w:rsidRDefault="004C1B86" w:rsidP="00016BFF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sz w:val="24"/>
          <w:szCs w:val="24"/>
          <w:lang w:eastAsia="cs-CZ"/>
        </w:rPr>
        <w:t xml:space="preserve">Ústav pedagogiky, </w:t>
      </w:r>
      <w:proofErr w:type="spellStart"/>
      <w:r>
        <w:rPr>
          <w:sz w:val="24"/>
          <w:szCs w:val="24"/>
          <w:lang w:eastAsia="cs-CZ"/>
        </w:rPr>
        <w:t>PdF</w:t>
      </w:r>
      <w:proofErr w:type="spellEnd"/>
      <w:r>
        <w:rPr>
          <w:sz w:val="24"/>
          <w:szCs w:val="24"/>
          <w:lang w:eastAsia="cs-CZ"/>
        </w:rPr>
        <w:t xml:space="preserve"> UP v Olomouci</w:t>
      </w:r>
      <w:r w:rsidR="00490F7D" w:rsidRPr="00016BFF">
        <w:rPr>
          <w:sz w:val="24"/>
          <w:szCs w:val="24"/>
          <w:lang w:eastAsia="cs-CZ"/>
        </w:rPr>
        <w:br/>
      </w:r>
      <w:r w:rsidR="00016BFF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Stručný popis</w:t>
      </w:r>
      <w:r w:rsidR="00C23441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testu</w:t>
      </w:r>
      <w:r w:rsidR="00016BFF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: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7F857568" w14:textId="42C61326" w:rsidR="00016BFF" w:rsidRPr="004C1B86" w:rsidRDefault="004C1B86" w:rsidP="00167D96">
      <w:pPr>
        <w:shd w:val="clear" w:color="auto" w:fill="FFFFFF"/>
        <w:spacing w:line="233" w:lineRule="atLeast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Profilový test z pedagogiky, psychologie a sociální pedagogiky je koncipován jako nástroj ověřující výstupní kompetence absolventů studijních programů Sociální pedagogika</w:t>
      </w:r>
      <w:r w:rsidR="00167D9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 Vychovatelství, které jsou předpokladem pro studium v navazujícím magisterském studiu. Cílem testu je ověřit znalosti uchazeče o studium v navazujícím magisterském studiu v oblastech pedagogiky, obecné didaktiky, diagnostiky, metod pedagogického výzkumu, teorie a metod sociální pedagogiky,</w:t>
      </w:r>
      <w:r w:rsidR="002F132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základů speciální </w:t>
      </w:r>
      <w:proofErr w:type="gramStart"/>
      <w:r w:rsidR="002F132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pedagogiky,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pedagogiky</w:t>
      </w:r>
      <w:proofErr w:type="gramEnd"/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volného času a prevence patologických jevů </w:t>
      </w:r>
      <w:proofErr w:type="gramStart"/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  rizikového</w:t>
      </w:r>
      <w:proofErr w:type="gramEnd"/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chování včetně </w:t>
      </w:r>
      <w:r w:rsidR="002F132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jejich legislativního ukotvení.</w:t>
      </w:r>
      <w:r w:rsidR="00C23441" w:rsidRPr="00016BFF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br/>
      </w:r>
    </w:p>
    <w:p w14:paraId="10FBECCC" w14:textId="7B9D0639" w:rsidR="00C23441" w:rsidRPr="00016BFF" w:rsidRDefault="00016BFF" w:rsidP="00016BFF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Struktura</w:t>
      </w:r>
      <w:r w:rsidR="00C23441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 testu</w:t>
      </w:r>
    </w:p>
    <w:p w14:paraId="0AB06C62" w14:textId="77777777" w:rsidR="00016BFF" w:rsidRPr="00016BFF" w:rsidRDefault="00016BFF" w:rsidP="00C23441">
      <w:pPr>
        <w:numPr>
          <w:ilvl w:val="1"/>
          <w:numId w:val="4"/>
        </w:num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t>Popis struktury:</w:t>
      </w:r>
    </w:p>
    <w:p w14:paraId="14D9622E" w14:textId="242784D7" w:rsidR="00016BFF" w:rsidRPr="00016BFF" w:rsidRDefault="002F132B" w:rsidP="00016BFF">
      <w:pPr>
        <w:numPr>
          <w:ilvl w:val="2"/>
          <w:numId w:val="4"/>
        </w:num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50</w:t>
      </w:r>
      <w:r w:rsidR="00C23441"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úloh,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(</w:t>
      </w:r>
      <w:r w:rsidR="00C23441" w:rsidRPr="00016BFF">
        <w:t>testov</w:t>
      </w:r>
      <w:r>
        <w:t>ých</w:t>
      </w:r>
      <w:r w:rsidR="00C23441" w:rsidRPr="00016BFF">
        <w:t xml:space="preserve"> otáz</w:t>
      </w:r>
      <w:r>
        <w:t>e</w:t>
      </w:r>
      <w:r w:rsidR="00C23441" w:rsidRPr="00016BFF">
        <w:t>k s možností výběru ze čtyř odpovědí, pouze jedna odpověď je správná, za každou správnou odpověď uchazeč získá 1 bod)</w:t>
      </w:r>
    </w:p>
    <w:p w14:paraId="4E0D7667" w14:textId="3F4BEA5C" w:rsidR="005B3CFC" w:rsidRPr="00167D96" w:rsidRDefault="00C23441" w:rsidP="00167D96">
      <w:pPr>
        <w:numPr>
          <w:ilvl w:val="2"/>
          <w:numId w:val="4"/>
        </w:num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t>Délka trvání testu: 30 minut</w:t>
      </w:r>
      <w:r w:rsidR="00490F7D" w:rsidRPr="00167D96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="005B3CFC" w:rsidRPr="00167D96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</w:p>
    <w:p w14:paraId="35D55570" w14:textId="074EE4F5" w:rsidR="00167D96" w:rsidRDefault="00C23441" w:rsidP="00016BFF">
      <w:pPr>
        <w:shd w:val="clear" w:color="auto" w:fill="FFFFFF"/>
        <w:spacing w:line="233" w:lineRule="atLeast"/>
      </w:pPr>
      <w:r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Vzorové </w:t>
      </w:r>
      <w:r w:rsidR="00016BFF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ukázky </w:t>
      </w:r>
      <w:r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otáz</w:t>
      </w:r>
      <w:r w:rsidR="00016BFF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ek</w:t>
      </w:r>
      <w:r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16BFF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br/>
      </w:r>
    </w:p>
    <w:p w14:paraId="3DD47B11" w14:textId="1CCB1445" w:rsidR="00167D96" w:rsidRPr="00B644F5" w:rsidRDefault="00167D96" w:rsidP="00016BFF">
      <w:pPr>
        <w:shd w:val="clear" w:color="auto" w:fill="FFFFFF"/>
        <w:spacing w:line="233" w:lineRule="atLeast"/>
        <w:rPr>
          <w:i/>
          <w:iCs/>
        </w:rPr>
      </w:pPr>
      <w:r w:rsidRPr="00B644F5">
        <w:rPr>
          <w:i/>
          <w:iCs/>
        </w:rPr>
        <w:t xml:space="preserve">Kvantitativní výzkum: </w:t>
      </w:r>
    </w:p>
    <w:p w14:paraId="6A3337B0" w14:textId="4F79467C" w:rsidR="00167D96" w:rsidRPr="00167D96" w:rsidRDefault="00167D96" w:rsidP="00167D96">
      <w:pPr>
        <w:pStyle w:val="Odstavecseseznamem"/>
        <w:numPr>
          <w:ilvl w:val="0"/>
          <w:numId w:val="8"/>
        </w:numPr>
        <w:shd w:val="clear" w:color="auto" w:fill="FFFFFF"/>
        <w:spacing w:line="233" w:lineRule="atLeast"/>
        <w:rPr>
          <w:b/>
          <w:bCs/>
        </w:rPr>
      </w:pPr>
      <w:r w:rsidRPr="00167D96">
        <w:rPr>
          <w:b/>
          <w:bCs/>
        </w:rPr>
        <w:t xml:space="preserve">vychází z filozofie pozitivismu a </w:t>
      </w:r>
      <w:proofErr w:type="gramStart"/>
      <w:r w:rsidRPr="00167D96">
        <w:rPr>
          <w:b/>
          <w:bCs/>
        </w:rPr>
        <w:t>pragmatizmu</w:t>
      </w:r>
      <w:proofErr w:type="gramEnd"/>
      <w:r w:rsidRPr="00167D96">
        <w:rPr>
          <w:b/>
          <w:bCs/>
        </w:rPr>
        <w:t xml:space="preserve"> </w:t>
      </w:r>
    </w:p>
    <w:p w14:paraId="580DA4ED" w14:textId="70BBB27F" w:rsidR="00167D96" w:rsidRDefault="00167D96" w:rsidP="00167D96">
      <w:pPr>
        <w:pStyle w:val="Odstavecseseznamem"/>
        <w:numPr>
          <w:ilvl w:val="0"/>
          <w:numId w:val="8"/>
        </w:numPr>
        <w:shd w:val="clear" w:color="auto" w:fill="FFFFFF"/>
        <w:spacing w:line="233" w:lineRule="atLeast"/>
      </w:pPr>
      <w:r>
        <w:t xml:space="preserve">snaží se o interpretaci a porozumění významu a umožňuje </w:t>
      </w:r>
      <w:proofErr w:type="spellStart"/>
      <w:r>
        <w:t>zobecnitelnost</w:t>
      </w:r>
      <w:proofErr w:type="spellEnd"/>
      <w:r>
        <w:t xml:space="preserve"> získaných výsledků </w:t>
      </w:r>
    </w:p>
    <w:p w14:paraId="0B8844B8" w14:textId="4E886291" w:rsidR="00167D96" w:rsidRDefault="00167D96" w:rsidP="00167D96">
      <w:pPr>
        <w:pStyle w:val="Odstavecseseznamem"/>
        <w:numPr>
          <w:ilvl w:val="0"/>
          <w:numId w:val="8"/>
        </w:numPr>
        <w:shd w:val="clear" w:color="auto" w:fill="FFFFFF"/>
        <w:spacing w:line="233" w:lineRule="atLeast"/>
      </w:pPr>
      <w:r>
        <w:t xml:space="preserve">vychází ze syntetické metodologické orientace </w:t>
      </w:r>
    </w:p>
    <w:p w14:paraId="39C4DC96" w14:textId="50465607" w:rsidR="00167D96" w:rsidRDefault="00167D96" w:rsidP="00167D96">
      <w:pPr>
        <w:pStyle w:val="Odstavecseseznamem"/>
        <w:numPr>
          <w:ilvl w:val="0"/>
          <w:numId w:val="8"/>
        </w:numPr>
        <w:shd w:val="clear" w:color="auto" w:fill="FFFFFF"/>
        <w:spacing w:line="233" w:lineRule="atLeast"/>
      </w:pPr>
      <w:r>
        <w:t>vychází z plurality filozofií</w:t>
      </w:r>
    </w:p>
    <w:p w14:paraId="67284DEF" w14:textId="77777777" w:rsidR="005C58D9" w:rsidRPr="00B644F5" w:rsidRDefault="005C58D9" w:rsidP="00167D96">
      <w:pPr>
        <w:shd w:val="clear" w:color="auto" w:fill="FFFFFF"/>
        <w:spacing w:line="233" w:lineRule="atLeast"/>
        <w:rPr>
          <w:i/>
          <w:iCs/>
        </w:rPr>
      </w:pPr>
      <w:r w:rsidRPr="00B644F5">
        <w:rPr>
          <w:i/>
          <w:iCs/>
        </w:rPr>
        <w:t xml:space="preserve">Perseverační představy jsou: </w:t>
      </w:r>
    </w:p>
    <w:p w14:paraId="6C618AD1" w14:textId="515E03FD" w:rsidR="005C58D9" w:rsidRDefault="005C58D9" w:rsidP="005C58D9">
      <w:pPr>
        <w:pStyle w:val="Odstavecseseznamem"/>
        <w:numPr>
          <w:ilvl w:val="0"/>
          <w:numId w:val="12"/>
        </w:numPr>
        <w:shd w:val="clear" w:color="auto" w:fill="FFFFFF"/>
        <w:spacing w:line="233" w:lineRule="atLeast"/>
      </w:pPr>
      <w:r>
        <w:t xml:space="preserve">tvořivé představy </w:t>
      </w:r>
    </w:p>
    <w:p w14:paraId="1EA3F530" w14:textId="5F944361" w:rsidR="005C58D9" w:rsidRDefault="005C58D9" w:rsidP="005C58D9">
      <w:pPr>
        <w:pStyle w:val="Odstavecseseznamem"/>
        <w:numPr>
          <w:ilvl w:val="0"/>
          <w:numId w:val="12"/>
        </w:numPr>
        <w:shd w:val="clear" w:color="auto" w:fill="FFFFFF"/>
        <w:spacing w:line="233" w:lineRule="atLeast"/>
      </w:pPr>
      <w:r>
        <w:t xml:space="preserve">rekonstruující představy </w:t>
      </w:r>
    </w:p>
    <w:p w14:paraId="4CD7FCEB" w14:textId="2C51A06A" w:rsidR="005C58D9" w:rsidRDefault="005C58D9" w:rsidP="005C58D9">
      <w:pPr>
        <w:pStyle w:val="Odstavecseseznamem"/>
        <w:numPr>
          <w:ilvl w:val="0"/>
          <w:numId w:val="12"/>
        </w:numPr>
        <w:shd w:val="clear" w:color="auto" w:fill="FFFFFF"/>
        <w:spacing w:line="233" w:lineRule="atLeast"/>
      </w:pPr>
      <w:r>
        <w:t xml:space="preserve">symbolické představy </w:t>
      </w:r>
    </w:p>
    <w:p w14:paraId="4F480C61" w14:textId="40C6D2C4" w:rsidR="005C58D9" w:rsidRPr="00B644F5" w:rsidRDefault="005C58D9" w:rsidP="00B644F5">
      <w:pPr>
        <w:pStyle w:val="Odstavecseseznamem"/>
        <w:numPr>
          <w:ilvl w:val="0"/>
          <w:numId w:val="12"/>
        </w:numPr>
        <w:shd w:val="clear" w:color="auto" w:fill="FFFFFF"/>
        <w:spacing w:line="233" w:lineRule="atLeast"/>
        <w:rPr>
          <w:b/>
          <w:bCs/>
        </w:rPr>
      </w:pPr>
      <w:r w:rsidRPr="005C58D9">
        <w:rPr>
          <w:b/>
          <w:bCs/>
        </w:rPr>
        <w:t>vtíravé, ulpívavé představy</w:t>
      </w:r>
    </w:p>
    <w:p w14:paraId="22BF84F7" w14:textId="77777777" w:rsidR="005C58D9" w:rsidRPr="00B644F5" w:rsidRDefault="005C58D9" w:rsidP="00016BFF">
      <w:pPr>
        <w:shd w:val="clear" w:color="auto" w:fill="FFFFFF"/>
        <w:spacing w:line="233" w:lineRule="atLeast"/>
        <w:rPr>
          <w:i/>
          <w:iCs/>
        </w:rPr>
      </w:pPr>
      <w:r w:rsidRPr="00B644F5">
        <w:rPr>
          <w:i/>
          <w:iCs/>
        </w:rPr>
        <w:t xml:space="preserve">Rodina je v aktuálním právním pojetí ze zákona chráněna: </w:t>
      </w:r>
    </w:p>
    <w:p w14:paraId="0B95E314" w14:textId="39F5822C" w:rsidR="005C58D9" w:rsidRPr="005C58D9" w:rsidRDefault="005C58D9" w:rsidP="005C58D9">
      <w:pPr>
        <w:pStyle w:val="Odstavecseseznamem"/>
        <w:numPr>
          <w:ilvl w:val="0"/>
          <w:numId w:val="14"/>
        </w:numPr>
        <w:shd w:val="clear" w:color="auto" w:fill="FFFFFF"/>
        <w:spacing w:line="233" w:lineRule="atLeast"/>
        <w:rPr>
          <w:b/>
          <w:bCs/>
        </w:rPr>
      </w:pPr>
      <w:r w:rsidRPr="005C58D9">
        <w:rPr>
          <w:b/>
          <w:bCs/>
        </w:rPr>
        <w:t xml:space="preserve">Občanským zákoníkem 89/2012 Sb. </w:t>
      </w:r>
    </w:p>
    <w:p w14:paraId="614D3E2E" w14:textId="52140125" w:rsidR="005C58D9" w:rsidRDefault="005C58D9" w:rsidP="005C58D9">
      <w:pPr>
        <w:pStyle w:val="Odstavecseseznamem"/>
        <w:numPr>
          <w:ilvl w:val="0"/>
          <w:numId w:val="14"/>
        </w:numPr>
        <w:shd w:val="clear" w:color="auto" w:fill="FFFFFF"/>
        <w:spacing w:line="233" w:lineRule="atLeast"/>
      </w:pPr>
      <w:r>
        <w:t xml:space="preserve">není chráněna žádným zákonem </w:t>
      </w:r>
    </w:p>
    <w:p w14:paraId="0E0A659B" w14:textId="20F5A72E" w:rsidR="005C58D9" w:rsidRDefault="005C58D9" w:rsidP="005C58D9">
      <w:pPr>
        <w:pStyle w:val="Odstavecseseznamem"/>
        <w:numPr>
          <w:ilvl w:val="0"/>
          <w:numId w:val="14"/>
        </w:numPr>
        <w:shd w:val="clear" w:color="auto" w:fill="FFFFFF"/>
        <w:spacing w:line="233" w:lineRule="atLeast"/>
      </w:pPr>
      <w:r>
        <w:t xml:space="preserve">Vyhláškou 93/2002 Sb. o rodině, rodičovství a náhradní rodinné péči </w:t>
      </w:r>
    </w:p>
    <w:p w14:paraId="599D83C9" w14:textId="4D59E671" w:rsidR="005C58D9" w:rsidRDefault="005C58D9" w:rsidP="005C58D9">
      <w:pPr>
        <w:pStyle w:val="Odstavecseseznamem"/>
        <w:numPr>
          <w:ilvl w:val="0"/>
          <w:numId w:val="14"/>
        </w:numPr>
        <w:shd w:val="clear" w:color="auto" w:fill="FFFFFF"/>
        <w:spacing w:line="233" w:lineRule="atLeast"/>
      </w:pPr>
      <w:r>
        <w:t>Zákonem o rodině č. 94/1963 Sb.</w:t>
      </w:r>
    </w:p>
    <w:p w14:paraId="39795D9C" w14:textId="77777777" w:rsidR="00B644F5" w:rsidRDefault="00B644F5" w:rsidP="005C58D9">
      <w:pPr>
        <w:shd w:val="clear" w:color="auto" w:fill="FFFFFF"/>
        <w:spacing w:line="233" w:lineRule="atLeast"/>
        <w:rPr>
          <w:i/>
          <w:iCs/>
        </w:rPr>
      </w:pPr>
    </w:p>
    <w:p w14:paraId="510FC75C" w14:textId="35DEA554" w:rsidR="005C58D9" w:rsidRPr="00B644F5" w:rsidRDefault="005C58D9" w:rsidP="005C58D9">
      <w:pPr>
        <w:shd w:val="clear" w:color="auto" w:fill="FFFFFF"/>
        <w:spacing w:line="233" w:lineRule="atLeast"/>
        <w:rPr>
          <w:i/>
          <w:iCs/>
        </w:rPr>
      </w:pPr>
      <w:r w:rsidRPr="00B644F5">
        <w:rPr>
          <w:i/>
          <w:iCs/>
        </w:rPr>
        <w:lastRenderedPageBreak/>
        <w:t xml:space="preserve">Prosociální chování označuje: </w:t>
      </w:r>
    </w:p>
    <w:p w14:paraId="2D38A705" w14:textId="11B47B7B" w:rsidR="005C58D9" w:rsidRDefault="005C58D9" w:rsidP="005C58D9">
      <w:pPr>
        <w:pStyle w:val="Odstavecseseznamem"/>
        <w:numPr>
          <w:ilvl w:val="0"/>
          <w:numId w:val="18"/>
        </w:numPr>
        <w:shd w:val="clear" w:color="auto" w:fill="FFFFFF"/>
        <w:spacing w:line="233" w:lineRule="atLeast"/>
      </w:pPr>
      <w:r>
        <w:t xml:space="preserve">silnou citovou vazbu vůči určitým sociálním skupinám </w:t>
      </w:r>
    </w:p>
    <w:p w14:paraId="60C0DC24" w14:textId="455FFB94" w:rsidR="005C58D9" w:rsidRDefault="005C58D9" w:rsidP="005C58D9">
      <w:pPr>
        <w:pStyle w:val="Odstavecseseznamem"/>
        <w:numPr>
          <w:ilvl w:val="0"/>
          <w:numId w:val="18"/>
        </w:numPr>
        <w:shd w:val="clear" w:color="auto" w:fill="FFFFFF"/>
        <w:spacing w:line="233" w:lineRule="atLeast"/>
      </w:pPr>
      <w:r w:rsidRPr="005C58D9">
        <w:rPr>
          <w:b/>
          <w:bCs/>
        </w:rPr>
        <w:t>chování, které je vykonávané ve prospěch druhých bez očekávání odměny</w:t>
      </w:r>
      <w:r>
        <w:t xml:space="preserve"> </w:t>
      </w:r>
    </w:p>
    <w:p w14:paraId="28A5D3F4" w14:textId="69737110" w:rsidR="005C58D9" w:rsidRDefault="005C58D9" w:rsidP="005C58D9">
      <w:pPr>
        <w:pStyle w:val="Odstavecseseznamem"/>
        <w:numPr>
          <w:ilvl w:val="0"/>
          <w:numId w:val="18"/>
        </w:numPr>
        <w:shd w:val="clear" w:color="auto" w:fill="FFFFFF"/>
        <w:spacing w:line="233" w:lineRule="atLeast"/>
      </w:pPr>
      <w:r>
        <w:t xml:space="preserve">chování, které škodí společnosti </w:t>
      </w:r>
    </w:p>
    <w:p w14:paraId="5497953B" w14:textId="36F03DE2" w:rsidR="005C58D9" w:rsidRDefault="005C58D9" w:rsidP="005C58D9">
      <w:pPr>
        <w:pStyle w:val="Odstavecseseznamem"/>
        <w:numPr>
          <w:ilvl w:val="0"/>
          <w:numId w:val="18"/>
        </w:numPr>
        <w:shd w:val="clear" w:color="auto" w:fill="FFFFFF"/>
        <w:spacing w:line="233" w:lineRule="atLeast"/>
      </w:pPr>
      <w:r>
        <w:t>agresi, které není realizovaná pod vlivem zlosti, tzv. chladná agrese</w:t>
      </w:r>
    </w:p>
    <w:p w14:paraId="2582401F" w14:textId="57DD01B6" w:rsidR="005C58D9" w:rsidRPr="00B644F5" w:rsidRDefault="005C58D9" w:rsidP="005C58D9">
      <w:pPr>
        <w:shd w:val="clear" w:color="auto" w:fill="FFFFFF"/>
        <w:spacing w:line="233" w:lineRule="atLeast"/>
        <w:rPr>
          <w:i/>
          <w:iCs/>
        </w:rPr>
      </w:pPr>
      <w:r w:rsidRPr="00B644F5">
        <w:rPr>
          <w:i/>
          <w:iCs/>
        </w:rPr>
        <w:t xml:space="preserve">Součástí reedukační a resocializační práce sociálního pedagoga může být i tzv. </w:t>
      </w:r>
      <w:proofErr w:type="spellStart"/>
      <w:r w:rsidRPr="00B644F5">
        <w:rPr>
          <w:i/>
          <w:iCs/>
        </w:rPr>
        <w:t>postpeniterciární</w:t>
      </w:r>
      <w:proofErr w:type="spellEnd"/>
      <w:r w:rsidRPr="00B644F5">
        <w:rPr>
          <w:i/>
          <w:iCs/>
        </w:rPr>
        <w:t xml:space="preserve"> péče. Jedná se o práci s jedinci: </w:t>
      </w:r>
    </w:p>
    <w:p w14:paraId="645FEA69" w14:textId="7F310972" w:rsidR="005C58D9" w:rsidRDefault="005C58D9" w:rsidP="005C58D9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</w:pPr>
      <w:r>
        <w:t xml:space="preserve">ve výkonu trestu odnětí svobody (příprava na návrat do společnosti) </w:t>
      </w:r>
    </w:p>
    <w:p w14:paraId="6AC5CD8F" w14:textId="64B32A94" w:rsidR="005C58D9" w:rsidRDefault="005C58D9" w:rsidP="005C58D9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</w:pPr>
      <w:r>
        <w:t xml:space="preserve">v terciárním stádiu života (nevyléčitelně nemocné, v pozdním postproduktivním věku) </w:t>
      </w:r>
    </w:p>
    <w:p w14:paraId="5EF509F0" w14:textId="20AD597D" w:rsidR="005C58D9" w:rsidRDefault="005C58D9" w:rsidP="005C58D9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</w:pPr>
      <w:r>
        <w:t xml:space="preserve">u kterých selhaly nastavené intervenční programy a vracíme se zpět do okamžiku selhání jedince </w:t>
      </w:r>
    </w:p>
    <w:p w14:paraId="5B6B3678" w14:textId="743BB587" w:rsidR="005C58D9" w:rsidRPr="005C58D9" w:rsidRDefault="005C58D9" w:rsidP="005C58D9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</w:pPr>
      <w:r w:rsidRPr="005C58D9">
        <w:rPr>
          <w:b/>
          <w:bCs/>
        </w:rPr>
        <w:t>po skončení výkonu trestu odnětí svobody (pomoc se začleněním do společnosti)</w:t>
      </w:r>
    </w:p>
    <w:p w14:paraId="3393FFAB" w14:textId="77777777" w:rsidR="005C58D9" w:rsidRPr="00B644F5" w:rsidRDefault="005C58D9" w:rsidP="005C58D9">
      <w:pPr>
        <w:shd w:val="clear" w:color="auto" w:fill="FFFFFF"/>
        <w:spacing w:line="233" w:lineRule="atLeast"/>
        <w:rPr>
          <w:i/>
          <w:iCs/>
        </w:rPr>
      </w:pPr>
      <w:r w:rsidRPr="00B644F5">
        <w:rPr>
          <w:i/>
          <w:iCs/>
        </w:rPr>
        <w:t xml:space="preserve">Které tvrzení neplatí o pozitivním vymezení volného času? </w:t>
      </w:r>
    </w:p>
    <w:p w14:paraId="305309A7" w14:textId="2CD787E2" w:rsidR="005C58D9" w:rsidRDefault="005C58D9" w:rsidP="005C58D9">
      <w:pPr>
        <w:pStyle w:val="Odstavecseseznamem"/>
        <w:numPr>
          <w:ilvl w:val="0"/>
          <w:numId w:val="20"/>
        </w:numPr>
        <w:shd w:val="clear" w:color="auto" w:fill="FFFFFF"/>
        <w:spacing w:line="233" w:lineRule="atLeast"/>
      </w:pPr>
      <w:r>
        <w:t xml:space="preserve">základním kritériem pro vymezení volného času je svobodná a dobrovolná volba činnosti </w:t>
      </w:r>
    </w:p>
    <w:p w14:paraId="0DB4957F" w14:textId="22A9A615" w:rsidR="005C58D9" w:rsidRDefault="005C58D9" w:rsidP="005C58D9">
      <w:pPr>
        <w:pStyle w:val="Odstavecseseznamem"/>
        <w:numPr>
          <w:ilvl w:val="0"/>
          <w:numId w:val="20"/>
        </w:numPr>
        <w:shd w:val="clear" w:color="auto" w:fill="FFFFFF"/>
        <w:spacing w:line="233" w:lineRule="atLeast"/>
      </w:pPr>
      <w:r>
        <w:t xml:space="preserve">pro toto vymezení není relevantní, zda jsou aktivity ve volném čase přínosné a obohacující </w:t>
      </w:r>
    </w:p>
    <w:p w14:paraId="6B42C430" w14:textId="54201D4C" w:rsidR="005C58D9" w:rsidRDefault="005C58D9" w:rsidP="005C58D9">
      <w:pPr>
        <w:pStyle w:val="Odstavecseseznamem"/>
        <w:numPr>
          <w:ilvl w:val="0"/>
          <w:numId w:val="20"/>
        </w:numPr>
        <w:shd w:val="clear" w:color="auto" w:fill="FFFFFF"/>
        <w:spacing w:line="233" w:lineRule="atLeast"/>
      </w:pPr>
      <w:r>
        <w:t xml:space="preserve">v definici se zaměřujeme spíše na to, „k čemu máme volno“, nikoliv „od čeho máme volno“ </w:t>
      </w:r>
    </w:p>
    <w:p w14:paraId="5AE10BC9" w14:textId="6950E831" w:rsidR="005C58D9" w:rsidRPr="005C58D9" w:rsidRDefault="005C58D9" w:rsidP="005C58D9">
      <w:pPr>
        <w:pStyle w:val="Odstavecseseznamem"/>
        <w:numPr>
          <w:ilvl w:val="0"/>
          <w:numId w:val="20"/>
        </w:numPr>
        <w:shd w:val="clear" w:color="auto" w:fill="FFFFFF"/>
        <w:spacing w:line="233" w:lineRule="atLeast"/>
        <w:rPr>
          <w:b/>
          <w:bCs/>
        </w:rPr>
      </w:pPr>
      <w:r w:rsidRPr="005C58D9">
        <w:rPr>
          <w:b/>
          <w:bCs/>
        </w:rPr>
        <w:t>volný čas definujeme spíše z pohledu časového než obsahového</w:t>
      </w:r>
    </w:p>
    <w:p w14:paraId="7E6BBE25" w14:textId="04035C6E" w:rsidR="00B644F5" w:rsidRPr="00B644F5" w:rsidRDefault="005B3CFC" w:rsidP="00B644F5">
      <w:pPr>
        <w:pStyle w:val="Nadpis2"/>
        <w:spacing w:before="0" w:after="0"/>
        <w:rPr>
          <w:rFonts w:asciiTheme="minorHAnsi" w:eastAsia="Times New Roman" w:hAnsiTheme="minorHAnsi" w:cs="Times New Roman"/>
          <w:b/>
          <w:bCs/>
          <w:color w:val="auto"/>
          <w:kern w:val="0"/>
          <w:sz w:val="22"/>
          <w:szCs w:val="22"/>
          <w:lang w:eastAsia="cs-CZ"/>
          <w14:ligatures w14:val="none"/>
        </w:rPr>
      </w:pPr>
      <w:r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="00C23441" w:rsidRPr="00B644F5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:lang w:eastAsia="cs-CZ"/>
          <w14:ligatures w14:val="none"/>
        </w:rPr>
        <w:t>Doporučená literatura a zdroje</w:t>
      </w:r>
      <w:r w:rsidR="00C23441" w:rsidRPr="00016BFF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br/>
      </w:r>
      <w:proofErr w:type="spellStart"/>
      <w:r w:rsidR="00B644F5" w:rsidRPr="00B644F5">
        <w:rPr>
          <w:rFonts w:asciiTheme="minorHAnsi" w:eastAsia="Times New Roman" w:hAnsiTheme="minorHAnsi" w:cs="Times New Roman"/>
          <w:color w:val="auto"/>
          <w:kern w:val="0"/>
          <w:sz w:val="22"/>
          <w:szCs w:val="22"/>
          <w:lang w:eastAsia="cs-CZ"/>
          <w14:ligatures w14:val="none"/>
        </w:rPr>
        <w:t>Chráska</w:t>
      </w:r>
      <w:proofErr w:type="spellEnd"/>
      <w:r w:rsidR="00B644F5" w:rsidRPr="00B644F5">
        <w:rPr>
          <w:rFonts w:asciiTheme="minorHAnsi" w:eastAsia="Times New Roman" w:hAnsiTheme="minorHAnsi" w:cs="Times New Roman"/>
          <w:color w:val="auto"/>
          <w:kern w:val="0"/>
          <w:sz w:val="22"/>
          <w:szCs w:val="22"/>
          <w:lang w:eastAsia="cs-CZ"/>
          <w14:ligatures w14:val="none"/>
        </w:rPr>
        <w:t xml:space="preserve">, M. (2016). </w:t>
      </w:r>
      <w:r w:rsidR="00B644F5" w:rsidRPr="00B644F5">
        <w:rPr>
          <w:rFonts w:asciiTheme="minorHAnsi" w:eastAsia="Times New Roman" w:hAnsiTheme="minorHAnsi" w:cs="Times New Roman"/>
          <w:i/>
          <w:iCs/>
          <w:color w:val="auto"/>
          <w:kern w:val="0"/>
          <w:sz w:val="22"/>
          <w:szCs w:val="22"/>
          <w:lang w:eastAsia="cs-CZ"/>
          <w14:ligatures w14:val="none"/>
        </w:rPr>
        <w:t>Metody pedagogického výzkumu: Základy kvantitativního výzkumu</w:t>
      </w:r>
      <w:r w:rsidR="00B644F5" w:rsidRPr="00B644F5">
        <w:rPr>
          <w:rFonts w:asciiTheme="minorHAnsi" w:eastAsia="Times New Roman" w:hAnsiTheme="minorHAnsi" w:cs="Times New Roman"/>
          <w:color w:val="auto"/>
          <w:kern w:val="0"/>
          <w:sz w:val="22"/>
          <w:szCs w:val="22"/>
          <w:lang w:eastAsia="cs-CZ"/>
          <w14:ligatures w14:val="none"/>
        </w:rPr>
        <w:t>. Grada.</w:t>
      </w:r>
    </w:p>
    <w:p w14:paraId="066A95FE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Daněk, J., a kol. (2024).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Metodika práce pro sociální pedagogy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Vydavatelství Univerzity Palackého.</w:t>
      </w:r>
    </w:p>
    <w:p w14:paraId="4208F130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Helus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, Z. (2015).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Sociální psychologie pro pedagogy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 (2., 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přeprac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>. a doplněné vyd.). Grada.</w:t>
      </w:r>
    </w:p>
    <w:p w14:paraId="6C1995F4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Hendl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, J. (2016).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Kvalitativní výzkum: Základní teorie, metody a aplikace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Portál.</w:t>
      </w:r>
    </w:p>
    <w:p w14:paraId="2C9A917A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Jirásek, I. (2019).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Zážitková pedagogika: Teorie holistické výchovy (v přírodě a volném čase)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Portál.</w:t>
      </w:r>
    </w:p>
    <w:p w14:paraId="40CBB516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Kalhous, Z., &amp; Obst, O. (2002).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Školní didaktika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Portál.</w:t>
      </w:r>
    </w:p>
    <w:p w14:paraId="61EED692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Kraus, B. (2014).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Základy sociální pedagogiky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Portál.</w:t>
      </w:r>
    </w:p>
    <w:p w14:paraId="22AA871E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Kraus, B. (2015).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Sociální deviace v transformaci společnosti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Gaudeamus.</w:t>
      </w:r>
    </w:p>
    <w:p w14:paraId="030E48D8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Maňák, J., &amp; Švec, V. (2003).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Výukové metody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Paido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560D29C2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Miovský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, M., a kol. (2015).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Výkladový slovník základních pojmů školské prevence rizikového chování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Klinika adiktologie.</w:t>
      </w:r>
    </w:p>
    <w:p w14:paraId="5207E686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Mühlpachr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, P. (2019).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Sociální patologie a sociální deviace. Distanční studijní text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Slezská univerzita.</w:t>
      </w:r>
    </w:p>
    <w:p w14:paraId="14237481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Nakonečný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, M. (2009).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Sociální psychologie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 (2., 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rozš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. a 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přeprac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>. vyd.). Academia.</w:t>
      </w:r>
    </w:p>
    <w:p w14:paraId="2F3939D4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Nešpor, K. (2011).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Návykové chování a závislost: Současné poznatky a perspektivy léčby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Portál.</w:t>
      </w:r>
    </w:p>
    <w:p w14:paraId="416C4000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Němec, Z. (2024).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Identifikace dětí a žáků se sociálním znevýhodněním v mateřské, základní a střední škole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Národní pedagogický institut České republiky.</w:t>
      </w:r>
    </w:p>
    <w:p w14:paraId="4EB5CB71" w14:textId="5B041427" w:rsidR="00256921" w:rsidRPr="00256921" w:rsidRDefault="00256921" w:rsidP="00256921">
      <w:pPr>
        <w:pStyle w:val="Seznamsodrkami"/>
        <w:numPr>
          <w:ilvl w:val="0"/>
          <w:numId w:val="0"/>
        </w:numPr>
        <w:spacing w:after="0"/>
        <w:ind w:left="360" w:hanging="360"/>
      </w:pPr>
      <w:proofErr w:type="spellStart"/>
      <w:r>
        <w:t>Skalková</w:t>
      </w:r>
      <w:proofErr w:type="spellEnd"/>
      <w:r>
        <w:t xml:space="preserve">, J. (2007). </w:t>
      </w:r>
      <w:proofErr w:type="spellStart"/>
      <w:r w:rsidRPr="00256921">
        <w:rPr>
          <w:i/>
          <w:iCs/>
        </w:rPr>
        <w:t>Obecná</w:t>
      </w:r>
      <w:proofErr w:type="spellEnd"/>
      <w:r w:rsidRPr="00256921">
        <w:rPr>
          <w:i/>
          <w:iCs/>
        </w:rPr>
        <w:t xml:space="preserve"> </w:t>
      </w:r>
      <w:proofErr w:type="spellStart"/>
      <w:r w:rsidRPr="00256921">
        <w:rPr>
          <w:i/>
          <w:iCs/>
        </w:rPr>
        <w:t>pedagogika</w:t>
      </w:r>
      <w:proofErr w:type="spellEnd"/>
      <w:r w:rsidRPr="00256921">
        <w:rPr>
          <w:i/>
          <w:iCs/>
        </w:rPr>
        <w:t>.</w:t>
      </w:r>
      <w:r>
        <w:t xml:space="preserve"> Praha: Grada.</w:t>
      </w:r>
    </w:p>
    <w:p w14:paraId="6D2D00E6" w14:textId="656B1487" w:rsidR="00256921" w:rsidRPr="00256921" w:rsidRDefault="00B644F5" w:rsidP="00256921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Pávková, J. (2001).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Pedagogika volného času: Teorie, praxe a perspektivy mimoškolní výchovy a zařízení volného času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 (2. vyd.). Portál.</w:t>
      </w:r>
    </w:p>
    <w:p w14:paraId="0898E8F0" w14:textId="7EB81AB7" w:rsidR="00256921" w:rsidRDefault="00256921" w:rsidP="00256921">
      <w:pPr>
        <w:pStyle w:val="Seznamsodrkami"/>
        <w:numPr>
          <w:ilvl w:val="0"/>
          <w:numId w:val="0"/>
        </w:numPr>
        <w:spacing w:after="0"/>
        <w:ind w:left="360" w:hanging="360"/>
      </w:pPr>
      <w:proofErr w:type="spellStart"/>
      <w:r>
        <w:t>Průcha</w:t>
      </w:r>
      <w:proofErr w:type="spellEnd"/>
      <w:r>
        <w:t>, J. (20</w:t>
      </w:r>
      <w:r>
        <w:t>13</w:t>
      </w:r>
      <w:r>
        <w:t xml:space="preserve">). </w:t>
      </w:r>
      <w:proofErr w:type="spellStart"/>
      <w:r w:rsidRPr="00256921">
        <w:rPr>
          <w:i/>
          <w:iCs/>
        </w:rPr>
        <w:t>Moderní</w:t>
      </w:r>
      <w:proofErr w:type="spellEnd"/>
      <w:r w:rsidRPr="00256921">
        <w:rPr>
          <w:i/>
          <w:iCs/>
        </w:rPr>
        <w:t xml:space="preserve"> </w:t>
      </w:r>
      <w:proofErr w:type="spellStart"/>
      <w:r w:rsidRPr="00256921">
        <w:rPr>
          <w:i/>
          <w:iCs/>
        </w:rPr>
        <w:t>pedagogika</w:t>
      </w:r>
      <w:proofErr w:type="spellEnd"/>
      <w:r w:rsidRPr="00256921">
        <w:rPr>
          <w:i/>
          <w:iCs/>
        </w:rPr>
        <w:t>.</w:t>
      </w:r>
      <w:r>
        <w:t xml:space="preserve"> Praha: </w:t>
      </w:r>
      <w:proofErr w:type="spellStart"/>
      <w:r>
        <w:t>Portál</w:t>
      </w:r>
      <w:proofErr w:type="spellEnd"/>
      <w:r>
        <w:t>.</w:t>
      </w:r>
    </w:p>
    <w:p w14:paraId="41E5E16C" w14:textId="6A28E047" w:rsidR="000A178E" w:rsidRPr="000A178E" w:rsidRDefault="000A178E" w:rsidP="00256921">
      <w:pPr>
        <w:pStyle w:val="Seznamsodrkami"/>
        <w:numPr>
          <w:ilvl w:val="0"/>
          <w:numId w:val="0"/>
        </w:numPr>
        <w:spacing w:after="0"/>
        <w:ind w:left="360" w:hanging="360"/>
      </w:pPr>
      <w:proofErr w:type="spellStart"/>
      <w:r>
        <w:t>Průcha</w:t>
      </w:r>
      <w:proofErr w:type="spellEnd"/>
      <w:r>
        <w:t xml:space="preserve">, J.(ed.) (2009). </w:t>
      </w:r>
      <w:proofErr w:type="spellStart"/>
      <w:r>
        <w:rPr>
          <w:i/>
          <w:iCs/>
        </w:rPr>
        <w:t>Pedagogická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encyklopedie</w:t>
      </w:r>
      <w:proofErr w:type="spellEnd"/>
      <w:r>
        <w:rPr>
          <w:i/>
          <w:iCs/>
        </w:rPr>
        <w:t xml:space="preserve">. </w:t>
      </w:r>
      <w:r>
        <w:t xml:space="preserve">Praha: </w:t>
      </w:r>
      <w:proofErr w:type="spellStart"/>
      <w:r>
        <w:t>Portál</w:t>
      </w:r>
      <w:proofErr w:type="spellEnd"/>
      <w:r>
        <w:t>.</w:t>
      </w:r>
    </w:p>
    <w:p w14:paraId="47E4B999" w14:textId="13451090" w:rsidR="00256921" w:rsidRPr="00256921" w:rsidRDefault="00256921" w:rsidP="00256921">
      <w:pPr>
        <w:spacing w:after="0"/>
      </w:pPr>
      <w:r>
        <w:t xml:space="preserve">Průcha, J., Walterová, E., &amp; Mareš, J. (2009). </w:t>
      </w:r>
      <w:r w:rsidRPr="00256921">
        <w:rPr>
          <w:i/>
          <w:iCs/>
        </w:rPr>
        <w:t>Pedagogický slovník.</w:t>
      </w:r>
      <w:r>
        <w:t xml:space="preserve"> Praha: Portál.</w:t>
      </w:r>
    </w:p>
    <w:p w14:paraId="5E4C75CC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Pávková, J. (2002).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Pedagogika volného času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 (3., 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aktualiz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>. vyd.). Portál.</w:t>
      </w:r>
    </w:p>
    <w:p w14:paraId="364FF125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Plháková, A. (2004).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Učebnice obecné psychologie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Academia.</w:t>
      </w:r>
    </w:p>
    <w:p w14:paraId="33E2F0B5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Říčan, P., &amp; Krejčířová, D. (2006).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Dětská klinická psychologie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 (4., 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přeprac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>. a doplněné vyd.). Grada.</w:t>
      </w:r>
    </w:p>
    <w:p w14:paraId="2439288C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lastRenderedPageBreak/>
        <w:t>Svoboda, M. (</w:t>
      </w:r>
      <w:proofErr w:type="spellStart"/>
      <w:r w:rsidRPr="00B644F5">
        <w:rPr>
          <w:rFonts w:eastAsia="Times New Roman" w:cs="Times New Roman"/>
          <w:kern w:val="0"/>
          <w:lang w:eastAsia="cs-CZ"/>
          <w14:ligatures w14:val="none"/>
        </w:rPr>
        <w:t>ed</w:t>
      </w:r>
      <w:proofErr w:type="spellEnd"/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.), Krejčířová, D., &amp; Vágnerová, M. (2009).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Psychodiagnostika dětí a dospívajících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 (2. vyd.). Portál.</w:t>
      </w:r>
    </w:p>
    <w:p w14:paraId="3FD53FB4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Valenta, M., a kol. (2014).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Přehled speciální pedagogiky: Rámcové kompendium oboru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Portál.</w:t>
      </w:r>
    </w:p>
    <w:p w14:paraId="72F9A2BF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Vágnerová, M. (2005).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Vývojová psychologie I: Dětství a dospívání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Karolinum.</w:t>
      </w:r>
    </w:p>
    <w:p w14:paraId="6DE568BA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Vágnerová, M. (2007).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Vývojová psychologie II: Dospělost a stáří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Karolinum.</w:t>
      </w:r>
    </w:p>
    <w:p w14:paraId="14EFA4C7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Vojtová, V. (2010). </w:t>
      </w:r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Inkluzivní vzdělávání žáků v riziku a s poruchami chování jako perspektiva kvality života v dospělosti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Masarykova univerzita.</w:t>
      </w:r>
    </w:p>
    <w:p w14:paraId="48912DD9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 xml:space="preserve">Čech, T. (2011). </w:t>
      </w:r>
      <w:proofErr w:type="spellStart"/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>Mobbing</w:t>
      </w:r>
      <w:proofErr w:type="spellEnd"/>
      <w:r w:rsidRPr="00B644F5">
        <w:rPr>
          <w:rFonts w:eastAsia="Times New Roman" w:cs="Times New Roman"/>
          <w:i/>
          <w:iCs/>
          <w:kern w:val="0"/>
          <w:lang w:eastAsia="cs-CZ"/>
          <w14:ligatures w14:val="none"/>
        </w:rPr>
        <w:t xml:space="preserve"> jako negativní fenomén v prostředí základních škol</w:t>
      </w:r>
      <w:r w:rsidRPr="00B644F5">
        <w:rPr>
          <w:rFonts w:eastAsia="Times New Roman" w:cs="Times New Roman"/>
          <w:kern w:val="0"/>
          <w:lang w:eastAsia="cs-CZ"/>
          <w14:ligatures w14:val="none"/>
        </w:rPr>
        <w:t>. Masarykova univerzita.</w:t>
      </w:r>
    </w:p>
    <w:p w14:paraId="0498C995" w14:textId="2C7220A3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</w:p>
    <w:p w14:paraId="747A143F" w14:textId="58367BC0" w:rsidR="00B644F5" w:rsidRDefault="00B644F5" w:rsidP="00B644F5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b/>
          <w:bCs/>
          <w:kern w:val="0"/>
          <w:lang w:eastAsia="cs-CZ"/>
          <w14:ligatures w14:val="none"/>
        </w:rPr>
        <w:t>Právní předpisy</w:t>
      </w:r>
      <w:r w:rsidR="000A178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0A178E">
        <w:rPr>
          <w:rFonts w:eastAsia="Times New Roman" w:cs="Times New Roman"/>
          <w:b/>
          <w:bCs/>
          <w:kern w:val="0"/>
          <w:lang w:eastAsia="cs-CZ"/>
          <w14:ligatures w14:val="none"/>
        </w:rPr>
        <w:t>adokumenty</w:t>
      </w:r>
      <w:proofErr w:type="spellEnd"/>
      <w:r w:rsidR="000A178E">
        <w:rPr>
          <w:rFonts w:eastAsia="Times New Roman" w:cs="Times New Roman"/>
          <w:b/>
          <w:bCs/>
          <w:kern w:val="0"/>
          <w:lang w:eastAsia="cs-CZ"/>
          <w14:ligatures w14:val="none"/>
        </w:rPr>
        <w:t>:</w:t>
      </w:r>
    </w:p>
    <w:p w14:paraId="67D0A442" w14:textId="492A8342" w:rsidR="000A178E" w:rsidRPr="00B644F5" w:rsidRDefault="000A178E" w:rsidP="00B644F5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>
        <w:t xml:space="preserve">Ministerstvo školství, mládeže a tělovýchovy. </w:t>
      </w:r>
      <w:r>
        <w:rPr>
          <w:rStyle w:val="Zdraznn"/>
        </w:rPr>
        <w:t>Strategie vzdělávací politiky ČR 2030+ – brožura</w:t>
      </w:r>
      <w:r>
        <w:t xml:space="preserve">. </w:t>
      </w:r>
      <w:proofErr w:type="gramStart"/>
      <w:r>
        <w:t>Praha :</w:t>
      </w:r>
      <w:proofErr w:type="gramEnd"/>
      <w:r>
        <w:t xml:space="preserve"> MŠMT, 2020 [online]. Dostupné z: </w:t>
      </w:r>
      <w:hyperlink r:id="rId6" w:tgtFrame="_new" w:history="1">
        <w:r>
          <w:rPr>
            <w:rStyle w:val="Hypertextovodkaz"/>
          </w:rPr>
          <w:t>https://msmt.gov.cz/uploads/Brozura_S2030_online_CZ.pdf</w:t>
        </w:r>
      </w:hyperlink>
    </w:p>
    <w:p w14:paraId="0A679ACB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>Vyhláška č. 72/2005 Sb., o poskytování poradenských služeb ve školách a školských poradenských zařízeních.</w:t>
      </w:r>
    </w:p>
    <w:p w14:paraId="43AA126C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>Zákon č. 108/2006 Sb., o sociálních službách.</w:t>
      </w:r>
    </w:p>
    <w:p w14:paraId="6E91874F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>Zákon č. 109/2002 Sb., o výkonu ústavní výchovy nebo ochranné výchovy ve školských zařízeních a o preventivně výchovné péči ve školských zařízeních.</w:t>
      </w:r>
    </w:p>
    <w:p w14:paraId="6000C5E0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>Zákon č. 169/1999 Sb., o výkonu trestu odnětí svobody.</w:t>
      </w:r>
    </w:p>
    <w:p w14:paraId="18B41D09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>Zákon č. 218/2003 Sb., o odpovědnosti mládeže za protiprávní činy a o soudnictví ve věcech mládeže a o změně některých zákonů.</w:t>
      </w:r>
    </w:p>
    <w:p w14:paraId="50CAA302" w14:textId="77777777" w:rsidR="00B644F5" w:rsidRPr="00B644F5" w:rsidRDefault="00B644F5" w:rsidP="00B644F5">
      <w:p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644F5">
        <w:rPr>
          <w:rFonts w:eastAsia="Times New Roman" w:cs="Times New Roman"/>
          <w:kern w:val="0"/>
          <w:lang w:eastAsia="cs-CZ"/>
          <w14:ligatures w14:val="none"/>
        </w:rPr>
        <w:t>Zákon č. 563/2004 Sb., o pedagogických pracovnících.</w:t>
      </w:r>
    </w:p>
    <w:p w14:paraId="2C7808DD" w14:textId="08DC5B2C" w:rsidR="00C23441" w:rsidRPr="00016BFF" w:rsidRDefault="00490F7D" w:rsidP="00016BFF">
      <w:p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="005B3CFC"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="00C23441" w:rsidRPr="00016BF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Kontakt pro dotazy (bližší informace)</w:t>
      </w:r>
      <w:r w:rsidR="00C23441" w:rsidRPr="00016BFF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br/>
      </w:r>
      <w:r w:rsidR="00C23441" w:rsidRPr="00016BFF">
        <w:rPr>
          <w:rFonts w:ascii="Calibri" w:eastAsia="Times New Roman" w:hAnsi="Calibri" w:cs="Calibri"/>
          <w:kern w:val="0"/>
          <w:lang w:eastAsia="cs-CZ"/>
          <w14:ligatures w14:val="none"/>
        </w:rPr>
        <w:t>E-mail / webová stránka katedry, kde lze získat další informace.</w:t>
      </w:r>
    </w:p>
    <w:p w14:paraId="31F9EA25" w14:textId="5B986209" w:rsidR="00C23441" w:rsidRPr="00016BFF" w:rsidRDefault="00C23441"/>
    <w:p w14:paraId="7FF5CFE1" w14:textId="1434D810" w:rsidR="00C23441" w:rsidRPr="00016BFF" w:rsidRDefault="00C23441"/>
    <w:p w14:paraId="4A5191E3" w14:textId="77777777" w:rsidR="00C23441" w:rsidRPr="00016BFF" w:rsidRDefault="00C23441"/>
    <w:sectPr w:rsidR="00C23441" w:rsidRPr="00016BFF" w:rsidSect="004B1AA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BC35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854CC"/>
    <w:multiLevelType w:val="hybridMultilevel"/>
    <w:tmpl w:val="CEA08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1027"/>
    <w:multiLevelType w:val="hybridMultilevel"/>
    <w:tmpl w:val="9F2856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B4D01"/>
    <w:multiLevelType w:val="multilevel"/>
    <w:tmpl w:val="D79C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A61D8"/>
    <w:multiLevelType w:val="hybridMultilevel"/>
    <w:tmpl w:val="81AAC04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733"/>
    <w:multiLevelType w:val="hybridMultilevel"/>
    <w:tmpl w:val="ED461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352D"/>
    <w:multiLevelType w:val="hybridMultilevel"/>
    <w:tmpl w:val="8CCAB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7BE7"/>
    <w:multiLevelType w:val="hybridMultilevel"/>
    <w:tmpl w:val="2346AA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7756"/>
    <w:multiLevelType w:val="hybridMultilevel"/>
    <w:tmpl w:val="D3C85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20AF8"/>
    <w:multiLevelType w:val="multilevel"/>
    <w:tmpl w:val="20E412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E15C5"/>
    <w:multiLevelType w:val="multilevel"/>
    <w:tmpl w:val="9D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E0014"/>
    <w:multiLevelType w:val="multilevel"/>
    <w:tmpl w:val="654E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D1CFD"/>
    <w:multiLevelType w:val="hybridMultilevel"/>
    <w:tmpl w:val="3B4671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5188F"/>
    <w:multiLevelType w:val="hybridMultilevel"/>
    <w:tmpl w:val="9BE6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1143F"/>
    <w:multiLevelType w:val="hybridMultilevel"/>
    <w:tmpl w:val="E6A607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83C8A"/>
    <w:multiLevelType w:val="hybridMultilevel"/>
    <w:tmpl w:val="694E649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F7FED"/>
    <w:multiLevelType w:val="multilevel"/>
    <w:tmpl w:val="84FA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B00F31"/>
    <w:multiLevelType w:val="hybridMultilevel"/>
    <w:tmpl w:val="DA80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A7661"/>
    <w:multiLevelType w:val="hybridMultilevel"/>
    <w:tmpl w:val="5C8003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C7FA5"/>
    <w:multiLevelType w:val="multilevel"/>
    <w:tmpl w:val="7532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72A0F"/>
    <w:multiLevelType w:val="hybridMultilevel"/>
    <w:tmpl w:val="87122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66B2"/>
    <w:multiLevelType w:val="multilevel"/>
    <w:tmpl w:val="5920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60345137">
    <w:abstractNumId w:val="3"/>
  </w:num>
  <w:num w:numId="2" w16cid:durableId="121971395">
    <w:abstractNumId w:val="10"/>
  </w:num>
  <w:num w:numId="3" w16cid:durableId="1168597778">
    <w:abstractNumId w:val="9"/>
  </w:num>
  <w:num w:numId="4" w16cid:durableId="920870033">
    <w:abstractNumId w:val="16"/>
  </w:num>
  <w:num w:numId="5" w16cid:durableId="1908497464">
    <w:abstractNumId w:val="11"/>
  </w:num>
  <w:num w:numId="6" w16cid:durableId="1134132230">
    <w:abstractNumId w:val="19"/>
  </w:num>
  <w:num w:numId="7" w16cid:durableId="1002513455">
    <w:abstractNumId w:val="21"/>
  </w:num>
  <w:num w:numId="8" w16cid:durableId="1159931152">
    <w:abstractNumId w:val="1"/>
  </w:num>
  <w:num w:numId="9" w16cid:durableId="7417399">
    <w:abstractNumId w:val="4"/>
  </w:num>
  <w:num w:numId="10" w16cid:durableId="125200908">
    <w:abstractNumId w:val="5"/>
  </w:num>
  <w:num w:numId="11" w16cid:durableId="1933006814">
    <w:abstractNumId w:val="18"/>
  </w:num>
  <w:num w:numId="12" w16cid:durableId="1154030534">
    <w:abstractNumId w:val="8"/>
  </w:num>
  <w:num w:numId="13" w16cid:durableId="1477457309">
    <w:abstractNumId w:val="7"/>
  </w:num>
  <w:num w:numId="14" w16cid:durableId="840854270">
    <w:abstractNumId w:val="17"/>
  </w:num>
  <w:num w:numId="15" w16cid:durableId="1475220553">
    <w:abstractNumId w:val="14"/>
  </w:num>
  <w:num w:numId="16" w16cid:durableId="1520390645">
    <w:abstractNumId w:val="20"/>
  </w:num>
  <w:num w:numId="17" w16cid:durableId="1933466268">
    <w:abstractNumId w:val="2"/>
  </w:num>
  <w:num w:numId="18" w16cid:durableId="1745712823">
    <w:abstractNumId w:val="6"/>
  </w:num>
  <w:num w:numId="19" w16cid:durableId="707143339">
    <w:abstractNumId w:val="12"/>
  </w:num>
  <w:num w:numId="20" w16cid:durableId="2016302074">
    <w:abstractNumId w:val="13"/>
  </w:num>
  <w:num w:numId="21" w16cid:durableId="244725874">
    <w:abstractNumId w:val="15"/>
  </w:num>
  <w:num w:numId="22" w16cid:durableId="47114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C"/>
    <w:rsid w:val="00016BFF"/>
    <w:rsid w:val="00077C7F"/>
    <w:rsid w:val="000A178E"/>
    <w:rsid w:val="000A1F30"/>
    <w:rsid w:val="00167D96"/>
    <w:rsid w:val="00256921"/>
    <w:rsid w:val="002E0465"/>
    <w:rsid w:val="002F132B"/>
    <w:rsid w:val="003E3048"/>
    <w:rsid w:val="00402D7B"/>
    <w:rsid w:val="004148D1"/>
    <w:rsid w:val="00490F7D"/>
    <w:rsid w:val="004B1AAC"/>
    <w:rsid w:val="004C1B86"/>
    <w:rsid w:val="004E2484"/>
    <w:rsid w:val="0057087C"/>
    <w:rsid w:val="005B3CFC"/>
    <w:rsid w:val="005C58D9"/>
    <w:rsid w:val="00666C6A"/>
    <w:rsid w:val="00B644F5"/>
    <w:rsid w:val="00BF7D12"/>
    <w:rsid w:val="00C2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6712"/>
  <w15:chartTrackingRefBased/>
  <w15:docId w15:val="{0108887C-2B42-43E1-8383-FD30C74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1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A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A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A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A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A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A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A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A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1A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A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AAC"/>
    <w:rPr>
      <w:b/>
      <w:bCs/>
      <w:smallCaps/>
      <w:color w:val="0F4761" w:themeColor="accent1" w:themeShade="BF"/>
      <w:spacing w:val="5"/>
    </w:rPr>
  </w:style>
  <w:style w:type="paragraph" w:styleId="Seznamsodrkami">
    <w:name w:val="List Bullet"/>
    <w:basedOn w:val="Normln"/>
    <w:uiPriority w:val="99"/>
    <w:unhideWhenUsed/>
    <w:rsid w:val="00256921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styleId="Zdraznn">
    <w:name w:val="Emphasis"/>
    <w:basedOn w:val="Standardnpsmoodstavce"/>
    <w:uiPriority w:val="20"/>
    <w:qFormat/>
    <w:rsid w:val="000A178E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A1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mt.gov.cz/uploads/Brozura_S2030_online_CZ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8F16-BC1D-47B0-B1CB-5C70B19D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Janosik Jiri</dc:creator>
  <cp:keywords/>
  <dc:description/>
  <cp:lastModifiedBy>Neumeister Pavel</cp:lastModifiedBy>
  <cp:revision>5</cp:revision>
  <dcterms:created xsi:type="dcterms:W3CDTF">2025-11-25T23:31:00Z</dcterms:created>
  <dcterms:modified xsi:type="dcterms:W3CDTF">2025-11-26T11:36:00Z</dcterms:modified>
</cp:coreProperties>
</file>