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7"/>
      </w:tblGrid>
      <w:tr w:rsidR="00E143F0" w:rsidRPr="00394785" w:rsidTr="0013716E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cs-CZ"/>
              </w:rPr>
              <w:t>Charakteristika studijního programu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Název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Pedagogika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Typ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doktorský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Forma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prezenční – kombinovaná 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Standardní doba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 roky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Jazyk studia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Český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Udělovaný akademický titul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Ph.D.</w:t>
            </w:r>
          </w:p>
        </w:tc>
      </w:tr>
      <w:tr w:rsidR="00E143F0" w:rsidRPr="00394785" w:rsidTr="0013716E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Garant studijního programu</w:t>
            </w:r>
          </w:p>
        </w:tc>
        <w:tc>
          <w:tcPr>
            <w:tcW w:w="6117" w:type="dxa"/>
            <w:tcBorders>
              <w:bottom w:val="single" w:sz="2" w:space="0" w:color="auto"/>
            </w:tcBorders>
          </w:tcPr>
          <w:p w:rsidR="00E143F0" w:rsidRPr="00394785" w:rsidRDefault="006C4EBE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C4EB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prof. PhDr. Eva Šmelová, Ph.D.</w:t>
            </w:r>
          </w:p>
        </w:tc>
      </w:tr>
      <w:tr w:rsidR="00E143F0" w:rsidRPr="00394785" w:rsidTr="0013716E">
        <w:trPr>
          <w:trHeight w:val="70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Cíle studia ve studijním programu</w:t>
            </w:r>
          </w:p>
        </w:tc>
      </w:tr>
      <w:tr w:rsidR="00E143F0" w:rsidRPr="00394785" w:rsidTr="0013716E">
        <w:trPr>
          <w:trHeight w:val="2108"/>
        </w:trPr>
        <w:tc>
          <w:tcPr>
            <w:tcW w:w="9285" w:type="dxa"/>
            <w:gridSpan w:val="2"/>
            <w:shd w:val="clear" w:color="auto" w:fill="FFFFFF"/>
          </w:tcPr>
          <w:p w:rsidR="00B32E24" w:rsidRDefault="00B32E24" w:rsidP="001371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Po zdárném dokončení doktorského studijního programu Pedagogika bude absolvent schopen: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přistupovat k tématu své odbornosti systémově a interdisciplinárně,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v širším kontextu společenské reality prezentovat, kriticky reflektovat a interpretovat aktuální trendy v pedagogice jako vědní disciplíně u nás i v zahraničí, a to zejména ve vztahu ke své odborné profilaci,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 kontextu vývoje příbuzných vědeckých disciplín a ve vztahu ke své odborné profilaci interpretovat, argumentovat a aplikovat soudobé teorie výchovy a vzdělávání a proměny paradigmatu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kurikulárního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diskurzu,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při zachování etických zásad samostatně koncipovat a realizovat empirické výzkumy směřující k rozšíření a obo</w:t>
            </w:r>
            <w:r w:rsidR="00B32E24">
              <w:rPr>
                <w:rFonts w:ascii="Times New Roman" w:hAnsi="Times New Roman" w:cs="Times New Roman"/>
                <w:sz w:val="20"/>
                <w:szCs w:val="20"/>
              </w:rPr>
              <w:t xml:space="preserve">hacení stavu vědeckého poznání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 souladu s relevantními diskurzy pedagogických věd, 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prezentovat, argumentovat a obhajovat výsledky své vlastní vědecko-výzkumné činnosti a konfrontovat jejich závěry s výstupy vědecké práce českých i zahraničních badatelů, a to například prostřednictvím publikační činnosti v mezinárodně uznávaných časopisech s náročným recenzním řízením,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podílet se na vědecko-výzkumné projektové a grantové činnosti i v rámci větších vědeckých týmů. 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aktivně a odborně komunikovat na téma své odbornosti  v jednom cizím jazyce na úrovni C1, ve druhém cizím jazyce na úrovni min. B1,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6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implementovat téma své odbornosti do výuky na VŠ.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Absolvent se uplatní zejména jako akademický a vědecký pracovník v pedagogických vědách.</w:t>
            </w:r>
          </w:p>
        </w:tc>
      </w:tr>
      <w:tr w:rsidR="00E143F0" w:rsidRPr="00394785" w:rsidTr="0013716E">
        <w:trPr>
          <w:trHeight w:val="187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Profil absolventa studijního programu</w:t>
            </w:r>
          </w:p>
        </w:tc>
      </w:tr>
      <w:tr w:rsidR="00E143F0" w:rsidRPr="00394785" w:rsidTr="0013716E">
        <w:trPr>
          <w:trHeight w:val="2694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770DDB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Absolvent disponuje hlubokými znalostmi ve vybraných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pedagogických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, pedagogicko-psychologických a dalších, oboru relevantních disciplínách. Je také seznámen s hlavními trendy v současné národní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zahraniční pedagogické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 xml:space="preserve"> teorii i praxi. Absolvent dále ovládá metodologii výzkumu v pedagogických oborech, metody získávání dat, příslušné statistické metody hodnocení dat stejně jako další analytické metody. Absolvent dokáže komunikovat v anglickém jazyce a je schopen využívat nabídky českých i zahraničních grantových agentur, které v současné době financují výzkumnou činnost formou grantových projektů. Dále dokáže prezentovat výsledky své výzkumné činnosti formou publikací v národních i zahraničních časopisech. Ve zvoleném oboru jsou absolventi schopni samostatné vědeckovýzkumné činnosti a mohou se uplatnit v pedagogické i výzkumné činnosti na vysokých školách, ve výzkumu.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Charakteristika prostřednictvím typických profesí – vědecký pracovník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13716E">
        <w:trPr>
          <w:trHeight w:val="258"/>
        </w:trPr>
        <w:tc>
          <w:tcPr>
            <w:tcW w:w="9285" w:type="dxa"/>
            <w:gridSpan w:val="2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Podmínky k přijetí ke studiu</w:t>
            </w:r>
          </w:p>
        </w:tc>
      </w:tr>
      <w:tr w:rsidR="00E143F0" w:rsidRPr="00394785" w:rsidTr="0013716E">
        <w:trPr>
          <w:trHeight w:val="1327"/>
        </w:trPr>
        <w:tc>
          <w:tcPr>
            <w:tcW w:w="9285" w:type="dxa"/>
            <w:gridSpan w:val="2"/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6243FE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4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Podmínky přijetí:</w:t>
            </w:r>
          </w:p>
          <w:p w:rsidR="00E143F0" w:rsidRPr="006243FE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Ke studiu DSP Pedagogika budou přijímáni uchazeči z řad absolventů navazujících magisterských či magisterských studijních programů zaměřených na oblast výchovy a vzdělávání, kteří splňují zákonnou podmínku absolutoria předchozího stupně studia a kteří úspěšně absolvují přijímací zkoušku. </w:t>
            </w:r>
          </w:p>
          <w:p w:rsidR="00E143F0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  <w:p w:rsidR="00E143F0" w:rsidRDefault="00E143F0" w:rsidP="0013716E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6243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Požadavky přijímací zkoušky:</w:t>
            </w:r>
          </w:p>
          <w:p w:rsidR="00E143F0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0210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 rámci přijímacího řízení předloží uchazeč o studium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záměr tématu disertační práce, který koresponduje s vypsanými tématy disertačních prací.</w:t>
            </w:r>
          </w:p>
          <w:p w:rsidR="00E143F0" w:rsidRPr="0002105A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V rámci ústní přijímací zkoušky obhajují uchazeči záměr tématu disertační práce a prokazují svou orientaci v problematice pedagogických věd. V rámci rozpravy k záměru tématu disertační práce také uchazeči prokazují své komunikační kompetence v jednom světovém jazyce.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Absolvování uceleného vysokoškolského studia – magisterského či navazujícího magisterského studijního programu.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Předpoklady pro studium DSP Pedagogika v podobě dosažené úrovně znalostí absolventa studijních programů 7501 Pedagogika, 7503 Učitelství pro základní školy, 7504 Učitelství pro střední školy. V případě uchazečů o studium DSP Pedagogika, kteří absolvovali magisterské studium v jiných než uvedených studijních programech, předpokládáme doplnění znalostí na výše přiblíženou úroveň prostřednictvím samostudia.</w:t>
            </w:r>
          </w:p>
          <w:p w:rsidR="00E143F0" w:rsidRPr="005C783C" w:rsidRDefault="00E143F0" w:rsidP="00E143F0">
            <w:pPr>
              <w:numPr>
                <w:ilvl w:val="1"/>
                <w:numId w:val="2"/>
              </w:numPr>
              <w:tabs>
                <w:tab w:val="clear" w:pos="1440"/>
              </w:tabs>
              <w:spacing w:after="0" w:line="240" w:lineRule="auto"/>
              <w:ind w:left="476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Úspěšné vykonání přijímacího řízení, v rámci kterého budou ověřovány: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předpoklady pro vědecko-výzkumnou činnost,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dovednosti prezentovat a obhajovat projekt disertační práce (který bude navazovat na vědecko-výzkumné zaměření pracoviště),</w:t>
            </w:r>
          </w:p>
          <w:p w:rsidR="00E143F0" w:rsidRPr="005C783C" w:rsidRDefault="00E143F0" w:rsidP="00E143F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schopnosti komunikovat alespoň v jednom cizím jazyce (anglický, německý nebo ruský jazyk) zejména v intencích předloženého projektu disertační práce.</w:t>
            </w: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</w:tbl>
    <w:p w:rsidR="002B2A96" w:rsidRDefault="002B2A96"/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10"/>
        <w:gridCol w:w="5775"/>
      </w:tblGrid>
      <w:tr w:rsidR="00E143F0" w:rsidRPr="00394785" w:rsidTr="00E143F0">
        <w:tc>
          <w:tcPr>
            <w:tcW w:w="9285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E143F0" w:rsidRPr="00394785" w:rsidRDefault="00B32E24" w:rsidP="00E1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Pravidla a podmínky pro tvorbu studijních plánů</w:t>
            </w:r>
          </w:p>
        </w:tc>
      </w:tr>
      <w:tr w:rsidR="00E143F0" w:rsidRPr="00394785" w:rsidTr="00E143F0">
        <w:trPr>
          <w:trHeight w:val="557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E24" w:rsidRDefault="00B32E24" w:rsidP="00B32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Studijní plán je tvořen 5 povinnými předměty (každý za 7 kreditů, tj. celkem 35 kreditů), 3 povinně volitelnými předměty (každý za 7 kreditů, tj. celkem 21 kreditů), které si student volí v souladu se zaměřením své dizertační práce, aktivitami v pedagogické činnosti - výuka studenta ve dvou předmětech (každá za 7 kreditů, tj. celkem 14 kreditů), absolvování zahraniční vědecko-výzkumné stáže (20 kreditů), plnění vědecké, publikační a tvůrčí činnosti (86 kreditů), dále obhajoba projektu disertační práce (10kreditů), zpracování disertační práce (40 kreditů), ostatní odborné aktivity (14 kreditů).</w:t>
            </w:r>
          </w:p>
          <w:p w:rsidR="00B32E24" w:rsidRDefault="00B32E24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3F0" w:rsidRDefault="00E143F0" w:rsidP="00137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6319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5"/>
              <w:gridCol w:w="3118"/>
              <w:gridCol w:w="1276"/>
            </w:tblGrid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P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edagogika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kredity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D025E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1" w:hanging="25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D025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5C783C" w:rsidRDefault="00E143F0" w:rsidP="00E143F0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251" w:hanging="25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5C78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cizí jazyk 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35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Povinně volitelné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předmět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cizí jazyk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Povinně volitelné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bottom"/>
                  <w:hideMark/>
                </w:tcPr>
                <w:p w:rsidR="00E143F0" w:rsidRPr="00E143F0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43F0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 Student volí 3 předměty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BD4B4" w:themeFill="accent6" w:themeFillTint="66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21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 předměty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56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Pedagogická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E143F0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  <w:ind w:left="253" w:hanging="253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výuka předmětu 1 semestr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7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Pedagogická činnost 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Výuková povinnost v rámci 1 předmětu za semestr (= 7 kreditů)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Zahraniční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vědecko-výzkumná stáž (1 měsíc)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Stáž slouží k rozšíření odborných znalostí doktoranda a zaměření stáže odpovídá tématu disertační práce.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Výsledky stáže musí student obhájit formou závěrečné zprávy.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20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Vědecká, publikační a tvůrčí činnost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blikace (odborná kniha, článek</w:t>
                  </w: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Aktivní účast na vědecké konferenci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Recenze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Zapojení do výzkumného projektu </w:t>
                  </w:r>
                </w:p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 xml:space="preserve">Umělecký výstup </w:t>
                  </w:r>
                  <w:r w:rsidRPr="00770DDB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lang w:eastAsia="cs-CZ"/>
                    </w:rPr>
                    <w:t>(max. 20 kreditů)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86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Obhajoba projektu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Student obhájí v rámci doktorské zkoušky teze (projekt) disertační práce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Zpracování disertační práce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 Student zpracuje kompletní disertační práci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40</w:t>
                  </w: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6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Ostatní odborné aktivity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Tvorba učební pomůcky, studijní opory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14</w:t>
                  </w:r>
                </w:p>
              </w:tc>
            </w:tr>
            <w:tr w:rsidR="00E143F0" w:rsidRPr="000B51B1" w:rsidTr="0013716E">
              <w:trPr>
                <w:trHeight w:val="256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E143F0" w:rsidRPr="000B51B1" w:rsidTr="0013716E">
              <w:trPr>
                <w:trHeight w:val="300"/>
              </w:trPr>
              <w:tc>
                <w:tcPr>
                  <w:tcW w:w="1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Celkem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bottom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noWrap/>
                  <w:vAlign w:val="center"/>
                  <w:hideMark/>
                </w:tcPr>
                <w:p w:rsidR="00E143F0" w:rsidRPr="00770DDB" w:rsidRDefault="00E143F0" w:rsidP="0013716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 w:rsidRPr="00770DD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cs-CZ"/>
                    </w:rPr>
                    <w:t>240</w:t>
                  </w:r>
                </w:p>
              </w:tc>
            </w:tr>
          </w:tbl>
          <w:p w:rsidR="00E143F0" w:rsidRDefault="00E143F0" w:rsidP="0013716E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E143F0" w:rsidTr="0013716E">
              <w:trPr>
                <w:trHeight w:val="1885"/>
              </w:trPr>
              <w:tc>
                <w:tcPr>
                  <w:tcW w:w="9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79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95"/>
                    <w:gridCol w:w="900"/>
                    <w:gridCol w:w="4500"/>
                  </w:tblGrid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P</w:t>
                        </w:r>
                        <w:r w:rsidRPr="000B4A34">
                          <w:rPr>
                            <w:b/>
                            <w:sz w:val="18"/>
                            <w:szCs w:val="18"/>
                          </w:rPr>
                          <w:t>ovinné předměty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b/>
                            <w:bCs/>
                            <w:sz w:val="18"/>
                            <w:szCs w:val="18"/>
                          </w:rPr>
                          <w:t>Počet kreditů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b/>
                            <w:bCs/>
                            <w:sz w:val="18"/>
                            <w:szCs w:val="18"/>
                          </w:rPr>
                          <w:t>Garant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r w:rsidRPr="00B70DAA">
                          <w:rPr>
                            <w:rStyle w:val="Zdraznnintenzivn1"/>
                            <w:sz w:val="20"/>
                          </w:rPr>
                          <w:t>Filozofické aspekty edukace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776407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Prof. Šmelová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r w:rsidRPr="00B70DAA">
                          <w:rPr>
                            <w:rStyle w:val="Zdraznnintenzivn1"/>
                            <w:sz w:val="20"/>
                          </w:rPr>
                          <w:t>Psychologické aspekty edukace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Plevová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pPr>
                          <w:rPr>
                            <w:rFonts w:ascii="Times New Roman" w:hAnsi="Times New Roman"/>
                            <w:bCs/>
                            <w:iCs/>
                            <w:sz w:val="20"/>
                          </w:rPr>
                        </w:pPr>
                        <w:r w:rsidRPr="00B70DAA">
                          <w:rPr>
                            <w:rStyle w:val="Zdraznnintenzivn1"/>
                            <w:sz w:val="20"/>
                          </w:rPr>
                          <w:t xml:space="preserve">Teorie a metodologie vědy 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Chráska</w:t>
                        </w:r>
                        <w:proofErr w:type="spellEnd"/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sz w:val="18"/>
                            <w:szCs w:val="18"/>
                          </w:rPr>
                          <w:t>Cizí jazyk I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 xml:space="preserve">doc. Řeřicha,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3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7D025E" w:rsidRDefault="00E143F0" w:rsidP="0013716E">
                        <w:pPr>
                          <w:rPr>
                            <w:rFonts w:ascii="Times New Roman" w:hAnsi="Times New Roman"/>
                            <w:bCs/>
                            <w:iCs/>
                            <w:sz w:val="20"/>
                          </w:rPr>
                        </w:pPr>
                        <w:r w:rsidRPr="00B70DAA">
                          <w:rPr>
                            <w:rStyle w:val="Zdraznnintenzivn1"/>
                            <w:sz w:val="20"/>
                          </w:rPr>
                          <w:t>Kurikulum a teorie výuky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45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0B4A34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Prášilová, prof. Šmelová</w:t>
                        </w:r>
                      </w:p>
                    </w:tc>
                  </w:tr>
                </w:tbl>
                <w:p w:rsidR="00E143F0" w:rsidRDefault="00E143F0" w:rsidP="0013716E">
                  <w:pPr>
                    <w:rPr>
                      <w:sz w:val="24"/>
                      <w:szCs w:val="24"/>
                    </w:rPr>
                  </w:pPr>
                </w:p>
                <w:tbl>
                  <w:tblPr>
                    <w:tblW w:w="974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443"/>
                    <w:gridCol w:w="877"/>
                    <w:gridCol w:w="3421"/>
                  </w:tblGrid>
                  <w:tr w:rsidR="00E143F0" w:rsidRPr="006F276B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sz w:val="18"/>
                            <w:szCs w:val="18"/>
                          </w:rPr>
                          <w:t>Povinně volitelné předměty</w:t>
                        </w:r>
                      </w:p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Student volí tři předměty podle zaměření dizertační práce 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Počet </w:t>
                        </w:r>
                      </w:p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>kreditů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both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554EB">
                          <w:rPr>
                            <w:b/>
                            <w:bCs/>
                            <w:sz w:val="18"/>
                            <w:szCs w:val="18"/>
                          </w:rPr>
                          <w:t>Garant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0B4A34">
                          <w:rPr>
                            <w:sz w:val="18"/>
                            <w:szCs w:val="18"/>
                          </w:rPr>
                          <w:t>Cizí jazyk I</w:t>
                        </w:r>
                        <w:r>
                          <w:rPr>
                            <w:sz w:val="18"/>
                            <w:szCs w:val="18"/>
                          </w:rPr>
                          <w:t>I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Řeřicha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Klima školy a její humanizace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Kantorová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Vzdělávací politika v národním i mezinárodním kontextu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Prášilová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Pedagogická evaluace a školský management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Doc. Prášilová 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Aktuální trendy teorie a praxe celoživotního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Bednaříková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t>Sociální pedagogika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Čech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660863" w:rsidRDefault="00E143F0" w:rsidP="0013716E">
                        <w:pPr>
                          <w:rPr>
                            <w:rStyle w:val="Zdraznnintenzivn1"/>
                            <w:sz w:val="20"/>
                          </w:rPr>
                        </w:pPr>
                        <w:r w:rsidRPr="00660863">
                          <w:rPr>
                            <w:rStyle w:val="Zdraznnintenzivn1"/>
                            <w:sz w:val="20"/>
                          </w:rPr>
                          <w:lastRenderedPageBreak/>
                          <w:t>Psychologické aspekty zvládání nároků současné školy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Doc. Plevová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rPr>
                            <w:rStyle w:val="Zdraznnintenzivn1"/>
                            <w:sz w:val="20"/>
                            <w:highlight w:val="yellow"/>
                          </w:rPr>
                        </w:pPr>
                        <w:r w:rsidRPr="005C783C">
                          <w:rPr>
                            <w:rStyle w:val="Zdraznnintenzivn1"/>
                            <w:sz w:val="20"/>
                          </w:rPr>
                          <w:t>Historické aspekty teorie výchovy a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ED1FF5" w:rsidRDefault="00E143F0" w:rsidP="0013716E">
                        <w:pPr>
                          <w:rPr>
                            <w:sz w:val="18"/>
                            <w:szCs w:val="18"/>
                            <w:highlight w:val="yellow"/>
                          </w:rPr>
                        </w:pPr>
                        <w:r w:rsidRPr="005C783C">
                          <w:rPr>
                            <w:sz w:val="18"/>
                            <w:szCs w:val="18"/>
                          </w:rPr>
                          <w:t>Prof. Rýdl</w:t>
                        </w:r>
                      </w:p>
                    </w:tc>
                  </w:tr>
                  <w:tr w:rsidR="00E143F0" w:rsidRPr="000B4A34" w:rsidTr="0013716E">
                    <w:tc>
                      <w:tcPr>
                        <w:tcW w:w="54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Default="00E143F0" w:rsidP="0013716E">
                        <w:r w:rsidRPr="00660863">
                          <w:rPr>
                            <w:rStyle w:val="Zdraznnintenzivn1"/>
                            <w:sz w:val="20"/>
                          </w:rPr>
                          <w:t xml:space="preserve">Trendy </w:t>
                        </w:r>
                        <w:proofErr w:type="spellStart"/>
                        <w:r w:rsidRPr="00660863">
                          <w:rPr>
                            <w:rStyle w:val="Zdraznnintenzivn1"/>
                            <w:sz w:val="20"/>
                          </w:rPr>
                          <w:t>preprimárního</w:t>
                        </w:r>
                        <w:proofErr w:type="spellEnd"/>
                        <w:r w:rsidRPr="00660863">
                          <w:rPr>
                            <w:rStyle w:val="Zdraznnintenzivn1"/>
                            <w:sz w:val="20"/>
                          </w:rPr>
                          <w:t xml:space="preserve"> a primárního vzdělávání</w:t>
                        </w:r>
                      </w:p>
                    </w:tc>
                    <w:tc>
                      <w:tcPr>
                        <w:tcW w:w="8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3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143F0" w:rsidRPr="00B554EB" w:rsidRDefault="00E143F0" w:rsidP="0013716E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Prof. Šmelová </w:t>
                        </w:r>
                      </w:p>
                    </w:tc>
                  </w:tr>
                </w:tbl>
                <w:p w:rsidR="00E143F0" w:rsidRDefault="00E143F0" w:rsidP="0013716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143F0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V rámci státní závěrečné zkoušky je student povinen prokázat osvojené znalosti z oblasti povinných a povinně volitelných disciplín, a to především díky analýze, syntéze, zhodnocení osvojených znalostí a demonstrace možností jejich aplikace v oblasti, na kterou je zaměřena disertační práce studenta. Uvedené znalosti budou ověřovány na základě následujících tematických okruhů státní doktorské zkoušky (studentovi budou v rámci ústní zkoušky zadány minimálně 2 tematické okruhy).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Pojetí vědy a výzkumu, obraty ve filosofii vědy ve vztahu k pedagogice. Etické zásady vědecké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výzkumné a publikační práce.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Teoretický výzkum: vztah výzkumných otázek a ke zvolenému designu a celkové  propojení teoretických východisek k návrhu projektu výzkumu při zachování etických zásad.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Historie a současný stav kvantitativních výzkumů v pedagogice, teoretická východiska. Výhody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nevýhody kvantitativní metodologie a volba kvantitativní metodologie s ohledem na koncipované zaměření disertační práce (tezí disertační práce)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Smíšený výzkumný design) (jeho výhody a nevýhody) s ohledem na zaměření disertační práce (teze disertační práce).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Historie a současný stav kvalitativních výzkumů v pedagogice, teoretická východiska a volba kvalitativní metodologie, výhody a nevýhody kvalitativní metodologie s ohledem na koncipované zaměření disertační práce (tezí disertační práce), Smíšený výzkumný design, jeho výhody a nevýhody.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Proměna názorů na cíle a obsah výchovy v kontextu společenského vývoje.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Výchovné prostředky v kontextu společenského vývoje s ohledem na středoevropskou a anglosaskou tradici a jejich možnosti a uplatnění v současnosti. Tradicionalismus versus inovace.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Diskurzivní analýza vlivu různých filozofických směrů 19. a 20. století na vývoj pedagog</w:t>
            </w:r>
            <w:bookmarkStart w:id="0" w:name="_GoBack"/>
            <w:bookmarkEnd w:id="0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iky jako vědecké disciplíny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Teorie hodnot v dějinách filozofie a její odraz v pedagogické teorii a praxi.  Etika sociálních důsledků jako teoretické východisko učitelské etiky.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Identifikace společenských vlivů na edukační proces z různých úhlů pohledu: vztahy mezi individuálním a sociálním ve výchově, kulturní krize, problém hodnotové výchovy, smysl a účel výchovy.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Podstata výchovy a jejího řízení v různých společnostech na základě utváření jejich kultury.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Aktuální problémy psychologického výzkumu edukační reality u nás a v zahraničí.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Teorie učení a jejich odraz ve směrech pedagogického myšlení.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Interindividuální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rozdíly procesu učení. Hlavní přístupy ke kognitivnímu vývoji.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Teoretické ukotvení stylů žákova učení z pohledu teorie poznání a teorie učení.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Motivační a emocionální faktory edukace: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Psychosociální aspekty edukace.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Psychologické aspekty přístupu k žákům se specifickými vzdělávacími potřebami u nás a v zahraničí.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Proměny paradigmatu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kurikulárního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diskurzu, determinanty a teoretický kontext kurikula.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Didaktické zprostředkování učiva (transformace, zjednodušení,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elementarizace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, redukce, rekonstrukce učiva), didaktická (a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mikrodidaktická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) analýza učiva (nároky kladené na učebnice a jiná edukační média).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Soudobé proměny vzdělávání a učitelská profese.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Koncepce kvality výuky </w:t>
            </w:r>
          </w:p>
          <w:p w:rsidR="00E143F0" w:rsidRPr="005C783C" w:rsidRDefault="00E143F0" w:rsidP="00E143F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Dimenze profesionality učitele.</w:t>
            </w:r>
          </w:p>
          <w:p w:rsidR="00E143F0" w:rsidRPr="005C783C" w:rsidRDefault="00E143F0" w:rsidP="0013716E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43F0" w:rsidRPr="005C783C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Důležitou součástí státní doktorské zkoušky je obhajoba tezí disertační práce, které jsou konkretizovaným a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finalizovaným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projektem disertační práce. Teze disertační práce představují shrnutí pro studenta poznatků osvojených nejen v rámci povinných a povinně volitelných </w:t>
            </w:r>
            <w:proofErr w:type="spellStart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>disciplin</w:t>
            </w:r>
            <w:proofErr w:type="spellEnd"/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a navazují na výstupy vědecko-výzkumných aktivit student. Teze disertační práce vychází z e stanovených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cílů a obsahují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t xml:space="preserve"> syntézu </w:t>
            </w:r>
            <w:r w:rsidRPr="005C783C">
              <w:rPr>
                <w:rFonts w:ascii="Times New Roman" w:hAnsi="Times New Roman" w:cs="Times New Roman"/>
                <w:sz w:val="20"/>
                <w:szCs w:val="20"/>
              </w:rPr>
              <w:br/>
              <w:t>a zhodnocení současného stavu zkoumání v dané oblasti pedagogik, které vytváří fundament pro propracovaný design empirického výzkumu.</w:t>
            </w:r>
          </w:p>
          <w:p w:rsidR="00E143F0" w:rsidRPr="00ED1FF5" w:rsidRDefault="00E143F0" w:rsidP="0013716E">
            <w:r w:rsidRPr="005C78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 rámci státní doktorské zkoušky student předloží seznam prostudované relevantní literatury (která bude alespoň z 1/3 čerpat ze zahraničních zdrojů) a bude též schopen reagovat na otázky týkající se jeho zaměření disertační práce ve zvoleném cizím jazyce.</w:t>
            </w: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Požadavky na tvůrčí činnost</w:t>
            </w:r>
          </w:p>
        </w:tc>
        <w:tc>
          <w:tcPr>
            <w:tcW w:w="5775" w:type="dxa"/>
            <w:tcBorders>
              <w:bottom w:val="nil"/>
            </w:tcBorders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2165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Publikace (odborná kniha, článek..)</w:t>
            </w:r>
          </w:p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Aktivní účast na vědecké konferenci </w:t>
            </w:r>
          </w:p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Recenze </w:t>
            </w:r>
          </w:p>
          <w:p w:rsidR="00E143F0" w:rsidRPr="006C4AC9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Zapojení do výzkumného projektu </w:t>
            </w:r>
          </w:p>
          <w:p w:rsidR="00E143F0" w:rsidRPr="00770DDB" w:rsidRDefault="00E143F0" w:rsidP="00443E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Požadavky na absolvování stáží</w:t>
            </w:r>
          </w:p>
        </w:tc>
        <w:tc>
          <w:tcPr>
            <w:tcW w:w="5775" w:type="dxa"/>
            <w:tcBorders>
              <w:bottom w:val="nil"/>
            </w:tcBorders>
          </w:tcPr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3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Student má za povinnost během studia absolvovat zahraniční vědecko-výzkumnou stáž v rozsahu minimálně 1 měsíc. </w:t>
            </w: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Stáž slouží k rozšíření odborných znalostí doktoranda a zaměření stáže odpovídá tématu disertační práce. 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70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Výsledky stáže musí student obhájit formou závěrečné zprávy.</w:t>
            </w:r>
          </w:p>
        </w:tc>
      </w:tr>
      <w:tr w:rsidR="00E143F0" w:rsidRPr="00394785" w:rsidTr="00E143F0">
        <w:tc>
          <w:tcPr>
            <w:tcW w:w="3510" w:type="dxa"/>
            <w:shd w:val="clear" w:color="auto" w:fill="F7CAAC"/>
          </w:tcPr>
          <w:p w:rsidR="00E143F0" w:rsidRPr="00394785" w:rsidRDefault="00E143F0" w:rsidP="0013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394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Další studijní povinnosti</w:t>
            </w:r>
          </w:p>
        </w:tc>
        <w:tc>
          <w:tcPr>
            <w:tcW w:w="5775" w:type="dxa"/>
            <w:tcBorders>
              <w:bottom w:val="nil"/>
            </w:tcBorders>
            <w:shd w:val="clear" w:color="auto" w:fill="FFFFFF"/>
          </w:tcPr>
          <w:p w:rsidR="00E143F0" w:rsidRPr="00394785" w:rsidRDefault="00E143F0" w:rsidP="0013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143F0" w:rsidRPr="00394785" w:rsidTr="00E143F0">
        <w:trPr>
          <w:trHeight w:val="1875"/>
        </w:trPr>
        <w:tc>
          <w:tcPr>
            <w:tcW w:w="9285" w:type="dxa"/>
            <w:gridSpan w:val="2"/>
            <w:tcBorders>
              <w:top w:val="nil"/>
            </w:tcBorders>
          </w:tcPr>
          <w:p w:rsidR="00E143F0" w:rsidRPr="00770DDB" w:rsidRDefault="00E143F0" w:rsidP="001371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>Mezi další povinnosti, stanovené studijním řádem patří: publikace v národním i zahraničním recenzovaném odborném tisku, aktivní účast na mezinárodních konferencích, participace na výzkumný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ch aktivitách školitele nebo ÚPSS</w:t>
            </w:r>
            <w:r w:rsidRPr="00770DDB">
              <w:rPr>
                <w:rFonts w:ascii="Times New Roman" w:hAnsi="Times New Roman" w:cs="Times New Roman"/>
                <w:sz w:val="20"/>
                <w:szCs w:val="20"/>
              </w:rPr>
              <w:t xml:space="preserve">, výuka v denním studiu bakalářských a magisterských programů. </w:t>
            </w:r>
          </w:p>
          <w:p w:rsidR="00E143F0" w:rsidRPr="00394785" w:rsidRDefault="00E143F0" w:rsidP="00137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143F0" w:rsidRDefault="00E143F0"/>
    <w:sectPr w:rsidR="00E14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E43"/>
    <w:multiLevelType w:val="hybridMultilevel"/>
    <w:tmpl w:val="5A54D40E"/>
    <w:lvl w:ilvl="0" w:tplc="7D5C9526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36929"/>
    <w:multiLevelType w:val="hybridMultilevel"/>
    <w:tmpl w:val="5D04C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1A38"/>
    <w:multiLevelType w:val="hybridMultilevel"/>
    <w:tmpl w:val="0276D7FE"/>
    <w:lvl w:ilvl="0" w:tplc="023E78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EB40A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75DFB"/>
    <w:multiLevelType w:val="hybridMultilevel"/>
    <w:tmpl w:val="EF120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F2665"/>
    <w:multiLevelType w:val="hybridMultilevel"/>
    <w:tmpl w:val="50928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E7ED7"/>
    <w:multiLevelType w:val="hybridMultilevel"/>
    <w:tmpl w:val="FE383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F5724"/>
    <w:multiLevelType w:val="hybridMultilevel"/>
    <w:tmpl w:val="6ECE78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06272"/>
    <w:multiLevelType w:val="multilevel"/>
    <w:tmpl w:val="6BC28B5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EwM7e0NDExMDY3MbNU0lEKTi0uzszPAykwrAUAlwTUJSwAAAA="/>
  </w:docVars>
  <w:rsids>
    <w:rsidRoot w:val="00E143F0"/>
    <w:rsid w:val="0012425B"/>
    <w:rsid w:val="002B2A96"/>
    <w:rsid w:val="00443E66"/>
    <w:rsid w:val="004A3445"/>
    <w:rsid w:val="006C4EBE"/>
    <w:rsid w:val="00776407"/>
    <w:rsid w:val="00B32E24"/>
    <w:rsid w:val="00E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6E5B"/>
  <w15:docId w15:val="{FCE0B39A-115A-4314-B855-A4E04948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43F0"/>
  </w:style>
  <w:style w:type="paragraph" w:styleId="Nadpis1">
    <w:name w:val="heading 1"/>
    <w:basedOn w:val="Normln"/>
    <w:next w:val="Normln"/>
    <w:link w:val="Nadpis1Char"/>
    <w:autoRedefine/>
    <w:qFormat/>
    <w:rsid w:val="00E143F0"/>
    <w:pPr>
      <w:keepNext/>
      <w:keepLines/>
      <w:numPr>
        <w:numId w:val="8"/>
      </w:numPr>
      <w:spacing w:before="480" w:after="24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qFormat/>
    <w:rsid w:val="00E143F0"/>
    <w:pPr>
      <w:keepNext/>
      <w:numPr>
        <w:ilvl w:val="1"/>
        <w:numId w:val="8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3">
    <w:name w:val="heading 3"/>
    <w:basedOn w:val="Normln"/>
    <w:next w:val="Normln"/>
    <w:link w:val="Nadpis3Char"/>
    <w:autoRedefine/>
    <w:qFormat/>
    <w:rsid w:val="00E143F0"/>
    <w:pPr>
      <w:keepNext/>
      <w:numPr>
        <w:ilvl w:val="2"/>
        <w:numId w:val="8"/>
      </w:numPr>
      <w:spacing w:before="360" w:after="180" w:line="240" w:lineRule="auto"/>
      <w:outlineLvl w:val="2"/>
    </w:pPr>
    <w:rPr>
      <w:rFonts w:eastAsia="Times New Roman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E143F0"/>
    <w:pPr>
      <w:keepNext/>
      <w:numPr>
        <w:ilvl w:val="3"/>
        <w:numId w:val="8"/>
      </w:numPr>
      <w:spacing w:before="240" w:after="120" w:line="36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styleId="Nadpis5">
    <w:name w:val="heading 5"/>
    <w:aliases w:val="Nepoužívaný 5"/>
    <w:basedOn w:val="Normln"/>
    <w:next w:val="Normln"/>
    <w:link w:val="Nadpis5Char"/>
    <w:qFormat/>
    <w:rsid w:val="00E143F0"/>
    <w:pPr>
      <w:numPr>
        <w:ilvl w:val="4"/>
        <w:numId w:val="8"/>
      </w:numPr>
      <w:spacing w:before="240" w:after="12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aliases w:val="Nepoužívaný 6"/>
    <w:basedOn w:val="Normln"/>
    <w:next w:val="Normln"/>
    <w:link w:val="Nadpis6Char"/>
    <w:qFormat/>
    <w:rsid w:val="00E143F0"/>
    <w:pPr>
      <w:numPr>
        <w:ilvl w:val="5"/>
        <w:numId w:val="8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cs-CZ"/>
    </w:rPr>
  </w:style>
  <w:style w:type="paragraph" w:styleId="Nadpis7">
    <w:name w:val="heading 7"/>
    <w:aliases w:val="Nepoužívaný 7"/>
    <w:basedOn w:val="Normln"/>
    <w:next w:val="Normln"/>
    <w:link w:val="Nadpis7Char"/>
    <w:qFormat/>
    <w:rsid w:val="00E143F0"/>
    <w:pPr>
      <w:numPr>
        <w:ilvl w:val="6"/>
        <w:numId w:val="8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aliases w:val="Nepoužívaný 8"/>
    <w:basedOn w:val="Normln"/>
    <w:next w:val="Normln"/>
    <w:link w:val="Nadpis8Char"/>
    <w:qFormat/>
    <w:rsid w:val="00E143F0"/>
    <w:pPr>
      <w:numPr>
        <w:ilvl w:val="7"/>
        <w:numId w:val="8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adpis9">
    <w:name w:val="heading 9"/>
    <w:aliases w:val="Nepoužívaný 9"/>
    <w:basedOn w:val="Normln"/>
    <w:next w:val="Normln"/>
    <w:link w:val="Nadpis9Char"/>
    <w:qFormat/>
    <w:rsid w:val="00E143F0"/>
    <w:pPr>
      <w:numPr>
        <w:ilvl w:val="8"/>
        <w:numId w:val="8"/>
      </w:numPr>
      <w:spacing w:before="240" w:after="60" w:line="360" w:lineRule="auto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3F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E143F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E143F0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E143F0"/>
    <w:rPr>
      <w:rFonts w:eastAsia="Times New Roman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E143F0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5Char">
    <w:name w:val="Nadpis 5 Char"/>
    <w:aliases w:val="Nepoužívaný 5 Char"/>
    <w:basedOn w:val="Standardnpsmoodstavce"/>
    <w:link w:val="Nadpis5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aliases w:val="Nepoužívaný 6 Char"/>
    <w:basedOn w:val="Standardnpsmoodstavce"/>
    <w:link w:val="Nadpis6"/>
    <w:rsid w:val="00E143F0"/>
    <w:rPr>
      <w:rFonts w:ascii="Times New Roman" w:eastAsia="Times New Roman" w:hAnsi="Times New Roman" w:cs="Times New Roman"/>
      <w:i/>
      <w:iCs/>
      <w:lang w:eastAsia="cs-CZ"/>
    </w:rPr>
  </w:style>
  <w:style w:type="character" w:customStyle="1" w:styleId="Nadpis7Char">
    <w:name w:val="Nadpis 7 Char"/>
    <w:aliases w:val="Nepoužívaný 7 Char"/>
    <w:basedOn w:val="Standardnpsmoodstavce"/>
    <w:link w:val="Nadpis7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aliases w:val="Nepoužívaný 8 Char"/>
    <w:basedOn w:val="Standardnpsmoodstavce"/>
    <w:link w:val="Nadpis8"/>
    <w:rsid w:val="00E143F0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aliases w:val="Nepoužívaný 9 Char"/>
    <w:basedOn w:val="Standardnpsmoodstavce"/>
    <w:link w:val="Nadpis9"/>
    <w:rsid w:val="00E143F0"/>
    <w:rPr>
      <w:rFonts w:ascii="Times New Roman" w:eastAsia="Times New Roman" w:hAnsi="Times New Roman" w:cs="Times New Roman"/>
      <w:b/>
      <w:bCs/>
      <w:i/>
      <w:iCs/>
      <w:sz w:val="18"/>
      <w:szCs w:val="18"/>
      <w:lang w:eastAsia="cs-CZ"/>
    </w:rPr>
  </w:style>
  <w:style w:type="paragraph" w:styleId="Zpat">
    <w:name w:val="footer"/>
    <w:basedOn w:val="Normln"/>
    <w:link w:val="ZpatChar"/>
    <w:unhideWhenUsed/>
    <w:rsid w:val="00E143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E143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raznnintenzivn1">
    <w:name w:val="Zdůraznění – intenzivní1"/>
    <w:aliases w:val="úvod dsp,Intense Emphasis"/>
    <w:uiPriority w:val="21"/>
    <w:qFormat/>
    <w:rsid w:val="00E143F0"/>
    <w:rPr>
      <w:rFonts w:ascii="Times New Roman" w:hAnsi="Times New Roman"/>
      <w:b w:val="0"/>
      <w:bCs/>
      <w:i w:val="0"/>
      <w:i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1711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Szotkowski Rene</cp:lastModifiedBy>
  <cp:revision>4</cp:revision>
  <dcterms:created xsi:type="dcterms:W3CDTF">2023-11-24T10:37:00Z</dcterms:created>
  <dcterms:modified xsi:type="dcterms:W3CDTF">2023-11-24T10:40:00Z</dcterms:modified>
</cp:coreProperties>
</file>